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       </w:t>
      </w:r>
      <w:r>
        <w:rPr>
          <w:rFonts w:hint="eastAsia" w:ascii="仿宋" w:hAnsi="仿宋" w:eastAsia="仿宋" w:cs="仿宋"/>
          <w:szCs w:val="21"/>
        </w:rPr>
        <w:t xml:space="preserve">合同编号： 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40"/>
        </w:rPr>
        <w:t>深圳市公共安全义工联合会</w:t>
      </w:r>
    </w:p>
    <w:p>
      <w:pPr>
        <w:spacing w:line="28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Hans"/>
        </w:rPr>
        <w:t>公众场所配备AED集成设备协议书</w:t>
      </w:r>
    </w:p>
    <w:p>
      <w:pPr>
        <w:tabs>
          <w:tab w:val="left" w:pos="2415"/>
        </w:tabs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签约方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甲方：</w:t>
      </w:r>
      <w:r>
        <w:rPr>
          <w:rFonts w:hint="eastAsia" w:ascii="仿宋" w:hAnsi="仿宋" w:eastAsia="仿宋" w:cs="仿宋"/>
          <w:sz w:val="24"/>
        </w:rPr>
        <w:t>深圳市公共安全义工联合会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法定代表人：金典琦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地址：深圳市福田区福华一路大中华交易广场北座10层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 HYPERLINK "mailto:aqygl@szsti.org" 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val="en-US" w:eastAsia="zh-CN"/>
        </w:rPr>
        <w:t>aqygl@szsti.org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乙方：新中物业管理（中国）有限公司深圳分公司</w:t>
      </w: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古岳雄</w:t>
      </w:r>
    </w:p>
    <w:p>
      <w:pPr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highlight w:val="none"/>
        </w:rPr>
        <w:t>地址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深圳市罗湖区建设路2022号中国银行大厦25楼</w:t>
      </w: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联系方式：胡伟　0755-83940152　　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第二条  签约时间及协议有效期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本协议从生效之日起，有效期8年。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第三条  项目名称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应急基础设施体系公益共建——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“安心驿站”【自动/半自动体外除颤仪（AED）+应急物资包+智能售货机/智能存取柜+安全宣教一体机+便民充电宝集成设备】公益模式（</w:t>
      </w:r>
      <w:r>
        <w:rPr>
          <w:rFonts w:hint="eastAsia" w:ascii="仿宋" w:hAnsi="仿宋" w:eastAsia="仿宋" w:cs="仿宋"/>
          <w:sz w:val="24"/>
          <w:lang w:eastAsia="zh-Hans"/>
        </w:rPr>
        <w:t>以</w:t>
      </w:r>
      <w:r>
        <w:rPr>
          <w:rFonts w:hint="eastAsia" w:ascii="仿宋" w:hAnsi="仿宋" w:eastAsia="仿宋" w:cs="仿宋"/>
          <w:sz w:val="24"/>
        </w:rPr>
        <w:t>下简称“设备”），在公众场所配备自动/半自动体外除颤仪（</w:t>
      </w:r>
      <w:r>
        <w:rPr>
          <w:rFonts w:hint="eastAsia" w:ascii="仿宋" w:hAnsi="仿宋" w:eastAsia="仿宋" w:cs="仿宋"/>
          <w:sz w:val="24"/>
          <w:lang w:eastAsia="zh-Hans"/>
        </w:rPr>
        <w:t>以下</w:t>
      </w:r>
      <w:r>
        <w:rPr>
          <w:rFonts w:hint="eastAsia" w:ascii="仿宋" w:hAnsi="仿宋" w:eastAsia="仿宋" w:cs="仿宋"/>
          <w:sz w:val="24"/>
        </w:rPr>
        <w:t>简称“AED”）。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第四条  项目所有权归属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本合同项下的所有成果权属（包括</w:t>
      </w:r>
      <w:r>
        <w:rPr>
          <w:rFonts w:hint="eastAsia" w:ascii="仿宋" w:hAnsi="仿宋" w:eastAsia="仿宋" w:cs="仿宋"/>
          <w:sz w:val="24"/>
          <w:lang w:val="en-US" w:eastAsia="zh-CN"/>
        </w:rPr>
        <w:t>但不限于</w:t>
      </w:r>
      <w:r>
        <w:rPr>
          <w:rFonts w:hint="eastAsia" w:ascii="仿宋" w:hAnsi="仿宋" w:eastAsia="仿宋" w:cs="仿宋"/>
          <w:sz w:val="24"/>
        </w:rPr>
        <w:t>项目公益共建的模式、设备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公益广告知识产权</w:t>
      </w:r>
      <w:r>
        <w:rPr>
          <w:rFonts w:hint="eastAsia" w:ascii="仿宋" w:hAnsi="仿宋" w:eastAsia="仿宋" w:cs="仿宋"/>
          <w:sz w:val="24"/>
        </w:rPr>
        <w:t>等）均归甲方所有。</w:t>
      </w:r>
    </w:p>
    <w:p>
      <w:pPr>
        <w:spacing w:line="360" w:lineRule="auto"/>
        <w:ind w:left="964" w:hanging="964" w:hangingChars="4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第五条  合作内容</w:t>
      </w:r>
    </w:p>
    <w:p>
      <w:pPr>
        <w:numPr>
          <w:ilvl w:val="255"/>
          <w:numId w:val="0"/>
        </w:numPr>
        <w:tabs>
          <w:tab w:val="left" w:pos="840"/>
        </w:tabs>
        <w:spacing w:line="360" w:lineRule="auto"/>
        <w:ind w:left="420" w:firstLine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合作方式：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双方在选定的公共区域，由甲方无偿配备适当数量的设备；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甲方按照1台AED培训10人的标准免费对乙方人员进行培训；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乙方无偿提供场地，无偿使用AED并协助管理AED。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第六条  双方责任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签约方保证本协议涉及的全部合作内容具有自主性和真实性，并不因本协议的履行而侵犯他人的合法权益。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经甲乙双方协议，由乙方提供场地，甲方提供设备并安装。安装完成后，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产权归甲方，使用权归属社会全体公众，乙方负责无偿巡视、巡察、保管、维护。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设备的摆放地点由甲乙双方协商确定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相关信息及设备序列号以</w:t>
      </w:r>
      <w:r>
        <w:rPr>
          <w:rFonts w:hint="eastAsia" w:ascii="仿宋" w:hAnsi="仿宋" w:eastAsia="仿宋" w:cs="仿宋"/>
          <w:sz w:val="24"/>
          <w:highlight w:val="none"/>
        </w:rPr>
        <w:t>附件1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或签收单为准（乙方指定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　　　　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签名后，签收单有效）</w:t>
      </w:r>
      <w:r>
        <w:rPr>
          <w:rFonts w:hint="eastAsia" w:ascii="仿宋" w:hAnsi="仿宋" w:eastAsia="仿宋" w:cs="仿宋"/>
          <w:sz w:val="24"/>
        </w:rPr>
        <w:t>，以急救便利、快捷、醒目为主要原则，并仅限于在乙方区域内使用。乙方负责免费提供场地及稳定电源给甲方</w:t>
      </w:r>
      <w:r>
        <w:rPr>
          <w:rFonts w:hint="eastAsia" w:ascii="仿宋" w:hAnsi="仿宋" w:eastAsia="仿宋" w:cs="仿宋"/>
          <w:sz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</w:rPr>
        <w:t>及甲方指定设备安装施工方使用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甲方负责提供现场自动体外除颤仪操作流程图及存放除颤仪的箱体。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AED的耗材（电极片）仅限紧急情况下使用后，由甲方合作方负责补充，其他耗材如</w:t>
      </w:r>
      <w:r>
        <w:rPr>
          <w:rFonts w:hint="eastAsia" w:ascii="仿宋" w:hAnsi="仿宋" w:eastAsia="仿宋" w:cs="仿宋"/>
          <w:sz w:val="24"/>
          <w:lang w:val="en-US" w:eastAsia="zh-Hans"/>
        </w:rPr>
        <w:t>急救</w:t>
      </w:r>
      <w:r>
        <w:rPr>
          <w:rFonts w:hint="eastAsia" w:ascii="仿宋" w:hAnsi="仿宋" w:eastAsia="仿宋" w:cs="仿宋"/>
          <w:sz w:val="24"/>
          <w:highlight w:val="none"/>
        </w:rPr>
        <w:t>物资包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安装时由甲方提供，</w:t>
      </w:r>
      <w:r>
        <w:rPr>
          <w:rFonts w:hint="eastAsia" w:ascii="仿宋" w:hAnsi="仿宋" w:eastAsia="仿宋" w:cs="仿宋"/>
          <w:sz w:val="24"/>
          <w:highlight w:val="none"/>
        </w:rPr>
        <w:t>乙方对其更新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更新过期物资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和维护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Hans"/>
        </w:rPr>
        <w:t>急救</w:t>
      </w:r>
      <w:r>
        <w:rPr>
          <w:rFonts w:hint="eastAsia" w:ascii="仿宋" w:hAnsi="仿宋" w:eastAsia="仿宋" w:cs="仿宋"/>
          <w:sz w:val="24"/>
          <w:highlight w:val="none"/>
        </w:rPr>
        <w:t>物资包</w:t>
      </w:r>
      <w:r>
        <w:rPr>
          <w:rFonts w:hint="eastAsia" w:ascii="仿宋" w:hAnsi="仿宋" w:eastAsia="仿宋" w:cs="仿宋"/>
          <w:sz w:val="24"/>
        </w:rPr>
        <w:t>使用后，由乙方自行补充。甲方负责将设备运到乙方使用现场，负责设备的安装、调试及培训乙方操作人员。安装、调试与培训产生的费用由甲方承担。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定期对设备性能进行测试。乙方负责无偿对安装的设备进行巡视、巡查和保管，发现设备有损坏、遗失，及时告知甲方并报警，如安装设备的区域设有监控，乙方有义务协助提供监控视频，并配合甲方、公安机关开展调查。</w:t>
      </w:r>
      <w:r>
        <w:rPr>
          <w:rFonts w:hint="eastAsia" w:ascii="仿宋" w:hAnsi="仿宋" w:eastAsia="仿宋" w:cs="仿宋"/>
          <w:sz w:val="24"/>
        </w:rPr>
        <w:t>其中AED电极片为一次性耗材，设备及一次性耗材非质量原因损坏如人为破坏、非急救情况下使用，由乙方承担相关耗材补充和设备维修费用。如设备或设备中物件丢失，若按照承保公司赔付条例确认为被盗赔付，由甲方协调生产厂家补充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乙方不能擅自打开、拆卸、损坏或转移设备或更换其他品牌设备，未经允许不可添加额外装置。若必须发生以上变动，乙方务必事先通知甲方并得到甲方确认。否则，给甲方造成的损失，概由乙方承担。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所有AED设备按照主管部门对深圳城市应急处置要求接入AED联网地图，并保持24小时待机状态，合作期间乙方有责任保管设备位置固定、通电正常，不受人为损坏、搬动、断电，如有特殊情况需要调整点位时，双方及设备提供方达成一致意见后，由甲方及设备提供方派人员迁移设备，乙方提供必要的协助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甲方负责安装后的使用培训，内容为现场心肺复苏（CPR+AED）操作技能。按照所配AED与使用人员1</w:t>
      </w:r>
      <w:r>
        <w:rPr>
          <w:rFonts w:hint="eastAsia" w:ascii="仿宋" w:hAnsi="仿宋" w:eastAsia="仿宋" w:cs="仿宋"/>
          <w:sz w:val="24"/>
          <w:lang w:val="en-US" w:eastAsia="zh-CN"/>
        </w:rPr>
        <w:t>:1</w:t>
      </w:r>
      <w:r>
        <w:rPr>
          <w:rFonts w:hint="eastAsia" w:ascii="仿宋" w:hAnsi="仿宋" w:eastAsia="仿宋" w:cs="仿宋"/>
          <w:sz w:val="24"/>
        </w:rPr>
        <w:t>0的比例，为乙方免费急救普及培训，费用由甲方承担。培训联系人：本协议甲方对接人。（乙方免费培训名额限于安装后半年进行，过期未主动参加培训的，甲方有权调剂名额供社会公众免费培训）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乙方应积极配合甲方，组织人员进行专项急救普及培训，提供急救培训人员名单（包括姓名、身份证号、手机号）并按约定的时间准时参加培训。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甲方邀请其他客户参观在乙方安置的设备，或者甲方因宣传推广，需要带人参观巡视，乙方应予以方便和配合。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乙方提供每一个安装AED场所固定管理人给甲方，以方便后续联系沟通，管理人及联系电话详见附件2《场所固定管理人清单》。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乙方支持“安心驿站”以合法合规</w:t>
      </w:r>
      <w:r>
        <w:rPr>
          <w:rFonts w:hint="eastAsia" w:ascii="仿宋" w:hAnsi="仿宋" w:eastAsia="仿宋" w:cs="仿宋"/>
          <w:sz w:val="24"/>
          <w:lang w:val="en-US" w:eastAsia="zh-Hans"/>
        </w:rPr>
        <w:t>的</w:t>
      </w:r>
      <w:r>
        <w:rPr>
          <w:rFonts w:hint="eastAsia" w:ascii="仿宋" w:hAnsi="仿宋" w:eastAsia="仿宋" w:cs="仿宋"/>
          <w:sz w:val="24"/>
        </w:rPr>
        <w:t>广告宣传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形式</w:t>
      </w:r>
      <w:r>
        <w:rPr>
          <w:rFonts w:hint="eastAsia" w:ascii="仿宋" w:hAnsi="仿宋" w:eastAsia="仿宋" w:cs="仿宋"/>
          <w:sz w:val="24"/>
        </w:rPr>
        <w:t>反补</w:t>
      </w:r>
      <w:r>
        <w:rPr>
          <w:rFonts w:hint="eastAsia" w:ascii="仿宋" w:hAnsi="仿宋" w:eastAsia="仿宋" w:cs="仿宋"/>
          <w:sz w:val="24"/>
          <w:lang w:eastAsia="zh-Hans"/>
        </w:rPr>
        <w:t>项目达到</w:t>
      </w:r>
      <w:r>
        <w:rPr>
          <w:rFonts w:hint="eastAsia" w:ascii="仿宋" w:hAnsi="仿宋" w:eastAsia="仿宋" w:cs="仿宋"/>
          <w:sz w:val="24"/>
        </w:rPr>
        <w:t>“共益模式”，对于深圳市应急管理局、消防、团市委、深圳城市安全技术研究院有限公司等“安心驿站”主办方要求执行的主题宣传及活动，甲乙双方应积极落地配合。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若甲方或设备供应商无法持续提供相关设备，甲方提前15天书面通知乙方后，有权撤机或解除本协议或与乙方协商选择其他布机位置，无需承担任何违约责任。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合同期限内，乙方可在甲方安装的设备刊播广告画面用于乙方自身形象、活动及商场品牌宣传，乙方确保广告内容符合相关法律法规和政策规定，且不侵犯他人的合法权益。在乙方发布内容与AED屏幕刊播内容和计划无冲突情况下，乙方播放广告的内容、时长、播放频率、播出期限等内容</w:t>
      </w:r>
      <w:r>
        <w:rPr>
          <w:rFonts w:hint="eastAsia" w:ascii="仿宋" w:hAnsi="仿宋" w:eastAsia="仿宋" w:cs="仿宋"/>
          <w:sz w:val="24"/>
          <w:lang w:val="en-US" w:eastAsia="zh-Hans"/>
        </w:rPr>
        <w:t>需按</w:t>
      </w:r>
      <w:r>
        <w:rPr>
          <w:rFonts w:hint="eastAsia" w:ascii="仿宋" w:hAnsi="仿宋" w:eastAsia="仿宋" w:cs="仿宋"/>
          <w:sz w:val="24"/>
        </w:rPr>
        <w:t>相关主管部门对AED内容发布的刊播审批流程，经过核准后刊播。甲方应负责在设备系统端口进行上画。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</w:t>
      </w:r>
      <w:r>
        <w:rPr>
          <w:rFonts w:hint="eastAsia" w:ascii="仿宋" w:hAnsi="仿宋" w:eastAsia="仿宋" w:cs="仿宋"/>
          <w:b/>
          <w:sz w:val="24"/>
          <w:lang w:eastAsia="zh-Hans"/>
        </w:rPr>
        <w:t>七</w:t>
      </w:r>
      <w:r>
        <w:rPr>
          <w:rFonts w:hint="eastAsia" w:ascii="仿宋" w:hAnsi="仿宋" w:eastAsia="仿宋" w:cs="仿宋"/>
          <w:b/>
          <w:sz w:val="24"/>
        </w:rPr>
        <w:t>条  风险承担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协议履行过程中，因现有技术水平、客观条件造成的损失，风险责任约定：一是根据我国《民法典》第184条“因自愿实施紧急救助行为造成受助人损害的，救助人不承担民事责任”，即法律规定使用AED救人是免责的；二是双方共同努力，分担风险，协商并及时采取一切可行措施，将双方的损失限制在可控范围之内；三是利用双方的影响力化解危机，尽可能减少对各方法人实体的负面影响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项目实施过程中，由于甲方的责任造成的损失，责任由甲方负责。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项目实施过程中，由于乙方的责任造成的损失，责任由乙方负责。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</w:t>
      </w:r>
      <w:r>
        <w:rPr>
          <w:rFonts w:hint="eastAsia" w:ascii="仿宋" w:hAnsi="仿宋" w:eastAsia="仿宋" w:cs="仿宋"/>
          <w:b/>
          <w:sz w:val="24"/>
          <w:lang w:eastAsia="zh-Hans"/>
        </w:rPr>
        <w:t>八</w:t>
      </w:r>
      <w:r>
        <w:rPr>
          <w:rFonts w:hint="eastAsia" w:ascii="仿宋" w:hAnsi="仿宋" w:eastAsia="仿宋" w:cs="仿宋"/>
          <w:b/>
          <w:sz w:val="24"/>
        </w:rPr>
        <w:t>条  成果验收</w:t>
      </w: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成果交付形式：合同签订后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</w:rPr>
        <w:t>个工作日内，甲方在乙方区域内一次完成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none"/>
          <w:lang w:eastAsia="zh-Hans"/>
        </w:rPr>
        <w:t>台</w:t>
      </w:r>
      <w:r>
        <w:rPr>
          <w:rFonts w:hint="eastAsia" w:ascii="仿宋" w:hAnsi="仿宋" w:eastAsia="仿宋" w:cs="仿宋"/>
          <w:sz w:val="24"/>
        </w:rPr>
        <w:t>AED的安装调试，并交付使用。</w:t>
      </w: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成果交付时间：   202   年   月   日。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</w:rPr>
        <w:t>成果验收标准：</w:t>
      </w:r>
      <w:r>
        <w:rPr>
          <w:rFonts w:hint="eastAsia" w:ascii="仿宋" w:hAnsi="仿宋" w:eastAsia="仿宋" w:cs="仿宋"/>
          <w:sz w:val="24"/>
          <w:lang w:eastAsia="zh-Hans"/>
        </w:rPr>
        <w:t>设备</w:t>
      </w:r>
      <w:r>
        <w:rPr>
          <w:rFonts w:hint="eastAsia" w:ascii="仿宋" w:hAnsi="仿宋" w:eastAsia="仿宋" w:cs="仿宋"/>
          <w:sz w:val="24"/>
        </w:rPr>
        <w:t>安装</w:t>
      </w:r>
      <w:r>
        <w:rPr>
          <w:rFonts w:hint="eastAsia" w:ascii="仿宋" w:hAnsi="仿宋" w:eastAsia="仿宋" w:cs="仿宋"/>
          <w:sz w:val="24"/>
          <w:lang w:eastAsia="zh-Hans"/>
        </w:rPr>
        <w:t>及电源接通完成，</w:t>
      </w:r>
      <w:r>
        <w:rPr>
          <w:rFonts w:hint="eastAsia" w:ascii="仿宋" w:hAnsi="仿宋" w:eastAsia="仿宋" w:cs="仿宋"/>
          <w:sz w:val="24"/>
        </w:rPr>
        <w:t>人员培训完成。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九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条  遵守法律</w:t>
      </w:r>
    </w:p>
    <w:p>
      <w:pPr>
        <w:pStyle w:val="7"/>
        <w:spacing w:line="360" w:lineRule="auto"/>
        <w:ind w:left="403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双</w:t>
      </w:r>
      <w:r>
        <w:rPr>
          <w:rFonts w:hint="eastAsia" w:ascii="仿宋" w:hAnsi="仿宋" w:eastAsia="仿宋" w:cs="仿宋"/>
          <w:sz w:val="24"/>
        </w:rPr>
        <w:t>方承诺，本协议严格遵守适用于履行本协议相关的全部法律，包括中华人民共和国的反腐败和反不当竞争法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物业管理条例</w:t>
      </w:r>
      <w:r>
        <w:rPr>
          <w:rFonts w:hint="eastAsia" w:ascii="仿宋" w:hAnsi="仿宋" w:eastAsia="仿宋" w:cs="仿宋"/>
          <w:sz w:val="24"/>
        </w:rPr>
        <w:t>等相关法律法规、行业规范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部门工作文件</w:t>
      </w:r>
      <w:r>
        <w:rPr>
          <w:rFonts w:hint="eastAsia" w:ascii="仿宋" w:hAnsi="仿宋" w:eastAsia="仿宋" w:cs="仿宋"/>
          <w:sz w:val="24"/>
          <w:highlight w:val="none"/>
        </w:rPr>
        <w:t>及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双</w:t>
      </w:r>
      <w:r>
        <w:rPr>
          <w:rFonts w:hint="eastAsia" w:ascii="仿宋" w:hAnsi="仿宋" w:eastAsia="仿宋" w:cs="仿宋"/>
          <w:sz w:val="24"/>
        </w:rPr>
        <w:t>方的内部政策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规章制度等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7"/>
        <w:spacing w:line="360" w:lineRule="auto"/>
        <w:ind w:left="403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双方承认乙方因甲方的经验、专长和资源优势而挑选其开展研究活动，而绝非对甲方过去、现在或未来对甲方销售或提供的产品或服务进行推广、应用、推荐、采购、支付、报销、授权、批准或提供的意愿进行激励或回报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第十条  协议变更</w:t>
      </w:r>
    </w:p>
    <w:p>
      <w:pPr>
        <w:pStyle w:val="7"/>
        <w:spacing w:line="360" w:lineRule="auto"/>
        <w:ind w:left="403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签约方确认，在履行协议过程中对于具体内容需要变更的，由签约各方另行协商并书面约定，作为本协议的变更文本。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第十</w:t>
      </w:r>
      <w:r>
        <w:rPr>
          <w:rFonts w:hint="eastAsia" w:ascii="仿宋" w:hAnsi="仿宋" w:eastAsia="仿宋" w:cs="仿宋"/>
          <w:b/>
          <w:sz w:val="24"/>
          <w:lang w:eastAsia="zh-Hans"/>
        </w:rPr>
        <w:t>一</w:t>
      </w:r>
      <w:r>
        <w:rPr>
          <w:rFonts w:hint="eastAsia" w:ascii="仿宋" w:hAnsi="仿宋" w:eastAsia="仿宋" w:cs="仿宋"/>
          <w:b/>
          <w:sz w:val="24"/>
        </w:rPr>
        <w:t>条  违约责任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甲、乙在履行协议的过程中因故意或重大过失给对方造成损失的，应当承担损害赔偿责任。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第十</w:t>
      </w:r>
      <w:r>
        <w:rPr>
          <w:rFonts w:hint="eastAsia" w:ascii="仿宋" w:hAnsi="仿宋" w:eastAsia="仿宋" w:cs="仿宋"/>
          <w:b/>
          <w:sz w:val="24"/>
          <w:lang w:eastAsia="zh-Hans"/>
        </w:rPr>
        <w:t>二</w:t>
      </w:r>
      <w:r>
        <w:rPr>
          <w:rFonts w:hint="eastAsia" w:ascii="仿宋" w:hAnsi="仿宋" w:eastAsia="仿宋" w:cs="仿宋"/>
          <w:b/>
          <w:sz w:val="24"/>
        </w:rPr>
        <w:t>条 争议解决方式</w:t>
      </w:r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签约各方因履行协议发生争议，应协商解决；</w:t>
      </w:r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协商解决不成，</w:t>
      </w:r>
      <w:bookmarkStart w:id="0" w:name="OLE_LINK17"/>
      <w:bookmarkStart w:id="1" w:name="OLE_LINK18"/>
      <w:r>
        <w:rPr>
          <w:rFonts w:hint="eastAsia" w:ascii="仿宋" w:hAnsi="仿宋" w:eastAsia="仿宋" w:cs="仿宋"/>
          <w:sz w:val="24"/>
        </w:rPr>
        <w:t>可提交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深圳市福田区人民法院</w:t>
      </w:r>
      <w:r>
        <w:rPr>
          <w:rFonts w:hint="eastAsia" w:ascii="仿宋" w:hAnsi="仿宋" w:eastAsia="仿宋" w:cs="仿宋"/>
          <w:sz w:val="24"/>
        </w:rPr>
        <w:t>通过诉讼方式解决。</w:t>
      </w:r>
      <w:bookmarkEnd w:id="0"/>
      <w:bookmarkEnd w:id="1"/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第十</w:t>
      </w:r>
      <w:r>
        <w:rPr>
          <w:rFonts w:hint="eastAsia" w:ascii="仿宋" w:hAnsi="仿宋" w:eastAsia="仿宋" w:cs="仿宋"/>
          <w:b/>
          <w:sz w:val="24"/>
          <w:lang w:eastAsia="zh-Hans"/>
        </w:rPr>
        <w:t>三</w:t>
      </w:r>
      <w:r>
        <w:rPr>
          <w:rFonts w:hint="eastAsia" w:ascii="仿宋" w:hAnsi="仿宋" w:eastAsia="仿宋" w:cs="仿宋"/>
          <w:b/>
          <w:sz w:val="24"/>
        </w:rPr>
        <w:t>条  协议生效</w:t>
      </w:r>
    </w:p>
    <w:p>
      <w:pPr>
        <w:pStyle w:val="7"/>
        <w:spacing w:line="360" w:lineRule="auto"/>
        <w:ind w:left="403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本协议一式【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陆</w:t>
      </w:r>
      <w:r>
        <w:rPr>
          <w:rFonts w:hint="eastAsia" w:ascii="仿宋" w:hAnsi="仿宋" w:eastAsia="仿宋" w:cs="仿宋"/>
          <w:sz w:val="24"/>
          <w:szCs w:val="24"/>
        </w:rPr>
        <w:t>】份，经合作双方盖章后生效，甲方执【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肆</w:t>
      </w:r>
      <w:r>
        <w:rPr>
          <w:rFonts w:hint="eastAsia" w:ascii="仿宋" w:hAnsi="仿宋" w:eastAsia="仿宋" w:cs="仿宋"/>
          <w:sz w:val="24"/>
          <w:szCs w:val="24"/>
        </w:rPr>
        <w:t>】份、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乙方执【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】份，</w:t>
      </w:r>
      <w:r>
        <w:rPr>
          <w:rFonts w:hint="eastAsia" w:ascii="仿宋" w:hAnsi="仿宋" w:eastAsia="仿宋" w:cs="仿宋"/>
          <w:sz w:val="24"/>
          <w:szCs w:val="24"/>
        </w:rPr>
        <w:t>具有同等法律效力。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第十</w:t>
      </w:r>
      <w:r>
        <w:rPr>
          <w:rFonts w:hint="eastAsia" w:ascii="仿宋" w:hAnsi="仿宋" w:eastAsia="仿宋" w:cs="仿宋"/>
          <w:b/>
          <w:sz w:val="24"/>
          <w:lang w:eastAsia="zh-Hans"/>
        </w:rPr>
        <w:t>四</w:t>
      </w:r>
      <w:r>
        <w:rPr>
          <w:rFonts w:hint="eastAsia" w:ascii="仿宋" w:hAnsi="仿宋" w:eastAsia="仿宋" w:cs="仿宋"/>
          <w:b/>
          <w:sz w:val="24"/>
        </w:rPr>
        <w:t xml:space="preserve">条 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合同履行</w:t>
      </w:r>
      <w:r>
        <w:rPr>
          <w:rFonts w:hint="eastAsia" w:ascii="仿宋" w:hAnsi="仿宋" w:eastAsia="仿宋" w:cs="仿宋"/>
          <w:b/>
          <w:sz w:val="24"/>
        </w:rPr>
        <w:t>地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深圳市福田区</w:t>
      </w:r>
    </w:p>
    <w:p>
      <w:pPr>
        <w:pStyle w:val="7"/>
        <w:spacing w:line="360" w:lineRule="auto"/>
        <w:ind w:firstLine="0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甲方：深圳市公共安全义工联合会（盖章）</w:t>
      </w:r>
    </w:p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签字：</w:t>
      </w:r>
    </w:p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地址：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深圳市福田区福华一路大中华交易广场北座10层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签订日期:    年   月   日</w:t>
      </w:r>
    </w:p>
    <w:p>
      <w:pPr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乙方：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新中物业管理（中国）有限公司深圳分公司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（盖章）</w:t>
      </w:r>
    </w:p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签字：</w:t>
      </w:r>
    </w:p>
    <w:p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地址：深圳市罗湖区建设路2022号中国银行大厦25楼 </w:t>
      </w:r>
    </w:p>
    <w:p>
      <w:pPr>
        <w:spacing w:line="360" w:lineRule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签订日期: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附件1《设备/物资明细清单》</w:t>
      </w:r>
    </w:p>
    <w:tbl>
      <w:tblPr>
        <w:tblStyle w:val="9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25"/>
        <w:gridCol w:w="2264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设备序列号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AED序列号</w:t>
            </w:r>
          </w:p>
        </w:tc>
        <w:tc>
          <w:tcPr>
            <w:tcW w:w="297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摆放地点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附件2《场所固定管理人清单》</w:t>
      </w:r>
      <w:bookmarkStart w:id="2" w:name="_GoBack"/>
      <w:bookmarkEnd w:id="2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140"/>
        <w:gridCol w:w="228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设备摆放点位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管理人</w:t>
            </w:r>
          </w:p>
        </w:tc>
        <w:tc>
          <w:tcPr>
            <w:tcW w:w="299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09083"/>
    <w:multiLevelType w:val="singleLevel"/>
    <w:tmpl w:val="86509083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E690D50"/>
    <w:multiLevelType w:val="multilevel"/>
    <w:tmpl w:val="0E690D5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>
    <w:nsid w:val="2F3E24FE"/>
    <w:multiLevelType w:val="multilevel"/>
    <w:tmpl w:val="2F3E24F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3">
    <w:nsid w:val="62D27099"/>
    <w:multiLevelType w:val="multilevel"/>
    <w:tmpl w:val="62D27099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65193A26"/>
    <w:multiLevelType w:val="multilevel"/>
    <w:tmpl w:val="65193A26"/>
    <w:lvl w:ilvl="0" w:tentative="0">
      <w:start w:val="1"/>
      <w:numFmt w:val="decimal"/>
      <w:lvlText w:val="%1)"/>
      <w:lvlJc w:val="left"/>
      <w:pPr>
        <w:tabs>
          <w:tab w:val="left" w:pos="1050"/>
        </w:tabs>
        <w:ind w:left="1050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794"/>
        </w:tabs>
        <w:ind w:left="1794" w:hanging="744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5">
    <w:nsid w:val="66603048"/>
    <w:multiLevelType w:val="multilevel"/>
    <w:tmpl w:val="66603048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YmE4MmYwNmY2ZjY1NDkzNWM2NzcxNGNiZjBiNGUifQ=="/>
  </w:docVars>
  <w:rsids>
    <w:rsidRoot w:val="0084621B"/>
    <w:rsid w:val="00065B9F"/>
    <w:rsid w:val="000B6345"/>
    <w:rsid w:val="000C3D84"/>
    <w:rsid w:val="000E0B66"/>
    <w:rsid w:val="0012739C"/>
    <w:rsid w:val="00161F31"/>
    <w:rsid w:val="0018728E"/>
    <w:rsid w:val="001A1B52"/>
    <w:rsid w:val="001C7FEF"/>
    <w:rsid w:val="001E3971"/>
    <w:rsid w:val="0027544D"/>
    <w:rsid w:val="00292962"/>
    <w:rsid w:val="002D2D11"/>
    <w:rsid w:val="002D42EF"/>
    <w:rsid w:val="002F4266"/>
    <w:rsid w:val="00361737"/>
    <w:rsid w:val="00386A7B"/>
    <w:rsid w:val="003974C8"/>
    <w:rsid w:val="003F02A9"/>
    <w:rsid w:val="00420530"/>
    <w:rsid w:val="004D6DA5"/>
    <w:rsid w:val="004E2638"/>
    <w:rsid w:val="0052075B"/>
    <w:rsid w:val="00552CCD"/>
    <w:rsid w:val="00553C24"/>
    <w:rsid w:val="00561302"/>
    <w:rsid w:val="00603386"/>
    <w:rsid w:val="00644017"/>
    <w:rsid w:val="00651D59"/>
    <w:rsid w:val="00672D92"/>
    <w:rsid w:val="00674112"/>
    <w:rsid w:val="006A3278"/>
    <w:rsid w:val="006B435F"/>
    <w:rsid w:val="006C5480"/>
    <w:rsid w:val="006D644F"/>
    <w:rsid w:val="00700C63"/>
    <w:rsid w:val="00745AE2"/>
    <w:rsid w:val="0077328C"/>
    <w:rsid w:val="00816547"/>
    <w:rsid w:val="0084621B"/>
    <w:rsid w:val="009023DB"/>
    <w:rsid w:val="009E269E"/>
    <w:rsid w:val="00A05BDD"/>
    <w:rsid w:val="00A37BCD"/>
    <w:rsid w:val="00A82F8E"/>
    <w:rsid w:val="00AE5747"/>
    <w:rsid w:val="00B14498"/>
    <w:rsid w:val="00B26F93"/>
    <w:rsid w:val="00BE560B"/>
    <w:rsid w:val="00BF5BBA"/>
    <w:rsid w:val="00C03E9A"/>
    <w:rsid w:val="00CB1B16"/>
    <w:rsid w:val="00CD1B7D"/>
    <w:rsid w:val="00CE7AD2"/>
    <w:rsid w:val="00D23492"/>
    <w:rsid w:val="00D42679"/>
    <w:rsid w:val="00D776D4"/>
    <w:rsid w:val="00DB7D1E"/>
    <w:rsid w:val="00DE2DB2"/>
    <w:rsid w:val="00E63ACA"/>
    <w:rsid w:val="00E7241D"/>
    <w:rsid w:val="00EE523B"/>
    <w:rsid w:val="00F0210E"/>
    <w:rsid w:val="00F20DCD"/>
    <w:rsid w:val="00F31C41"/>
    <w:rsid w:val="00F77F22"/>
    <w:rsid w:val="00F81AFE"/>
    <w:rsid w:val="00F83BE4"/>
    <w:rsid w:val="020471C5"/>
    <w:rsid w:val="02366E90"/>
    <w:rsid w:val="02C45B70"/>
    <w:rsid w:val="036733C7"/>
    <w:rsid w:val="038253D6"/>
    <w:rsid w:val="05704205"/>
    <w:rsid w:val="08744BDF"/>
    <w:rsid w:val="0BE176C3"/>
    <w:rsid w:val="0D68732F"/>
    <w:rsid w:val="12170E12"/>
    <w:rsid w:val="157D33EF"/>
    <w:rsid w:val="15A1245A"/>
    <w:rsid w:val="1A8F0934"/>
    <w:rsid w:val="1B494996"/>
    <w:rsid w:val="1B8F7C6E"/>
    <w:rsid w:val="1B925341"/>
    <w:rsid w:val="1C444F54"/>
    <w:rsid w:val="1FFBF132"/>
    <w:rsid w:val="21BF602B"/>
    <w:rsid w:val="25E51A53"/>
    <w:rsid w:val="29AF16DB"/>
    <w:rsid w:val="2BFD2C04"/>
    <w:rsid w:val="2C0B1C2B"/>
    <w:rsid w:val="2D672957"/>
    <w:rsid w:val="2FB53CD8"/>
    <w:rsid w:val="30F32296"/>
    <w:rsid w:val="31584837"/>
    <w:rsid w:val="31705A4B"/>
    <w:rsid w:val="31BC1882"/>
    <w:rsid w:val="3497789E"/>
    <w:rsid w:val="35181053"/>
    <w:rsid w:val="366A4DA8"/>
    <w:rsid w:val="3F53AB7B"/>
    <w:rsid w:val="405F16F6"/>
    <w:rsid w:val="466E3020"/>
    <w:rsid w:val="4A4F0625"/>
    <w:rsid w:val="500A05D7"/>
    <w:rsid w:val="50174B43"/>
    <w:rsid w:val="523E7FC1"/>
    <w:rsid w:val="546057A8"/>
    <w:rsid w:val="54813E28"/>
    <w:rsid w:val="55561CDA"/>
    <w:rsid w:val="58DA02CA"/>
    <w:rsid w:val="5A3A1EE5"/>
    <w:rsid w:val="5C113B14"/>
    <w:rsid w:val="5C9B9EE7"/>
    <w:rsid w:val="640A58BD"/>
    <w:rsid w:val="684C4026"/>
    <w:rsid w:val="695A27D3"/>
    <w:rsid w:val="6DF06E91"/>
    <w:rsid w:val="6E577576"/>
    <w:rsid w:val="6EFE7199"/>
    <w:rsid w:val="72C20586"/>
    <w:rsid w:val="7D5FB16B"/>
    <w:rsid w:val="7E7373A9"/>
    <w:rsid w:val="7E81400A"/>
    <w:rsid w:val="7F71407E"/>
    <w:rsid w:val="7FFF8BD4"/>
    <w:rsid w:val="AFFBA40E"/>
    <w:rsid w:val="BDFB7060"/>
    <w:rsid w:val="BF7B458F"/>
    <w:rsid w:val="D6566A9E"/>
    <w:rsid w:val="EDF72765"/>
    <w:rsid w:val="EFD763D6"/>
    <w:rsid w:val="F7FF29F0"/>
    <w:rsid w:val="FAFE823A"/>
    <w:rsid w:val="FD6BE9D5"/>
    <w:rsid w:val="FDCF69C4"/>
    <w:rsid w:val="FE7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3"/>
    <w:qFormat/>
    <w:uiPriority w:val="0"/>
    <w:pPr>
      <w:widowControl/>
      <w:ind w:left="0" w:leftChars="0" w:firstLine="210"/>
      <w:jc w:val="left"/>
    </w:pPr>
    <w:rPr>
      <w:kern w:val="0"/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文本首行缩进 2 字符"/>
    <w:basedOn w:val="12"/>
    <w:link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466</Words>
  <Characters>2658</Characters>
  <Lines>22</Lines>
  <Paragraphs>6</Paragraphs>
  <TotalTime>3</TotalTime>
  <ScaleCrop>false</ScaleCrop>
  <LinksUpToDate>false</LinksUpToDate>
  <CharactersWithSpaces>3118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2022-01-02T05:04:00Z</dcterms:created>
  <dc:creator>2012</dc:creator>
  <cp:lastModifiedBy>陈小华</cp:lastModifiedBy>
  <cp:lastPrinted>2022-01-02T05:03:00Z</cp:lastPrinted>
  <dcterms:modified xsi:type="dcterms:W3CDTF">2022-10-24T01:27:13Z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67354343172042EA8E71AD9B47222689</vt:lpwstr>
  </property>
</Properties>
</file>