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30" w:firstLineChars="2300"/>
        <w:rPr>
          <w:rFonts w:ascii="仿宋" w:hAnsi="仿宋" w:eastAsia="仿宋"/>
          <w:color w:val="000000"/>
          <w:sz w:val="21"/>
        </w:rPr>
      </w:pPr>
      <w:r>
        <w:rPr>
          <w:rFonts w:hint="eastAsia" w:ascii="仿宋" w:hAnsi="仿宋" w:eastAsia="仿宋"/>
          <w:color w:val="000000"/>
          <w:sz w:val="21"/>
        </w:rPr>
        <w:t>合同编号：</w:t>
      </w:r>
    </w:p>
    <w:p>
      <w:pPr>
        <w:spacing w:line="480" w:lineRule="exact"/>
        <w:jc w:val="both"/>
        <w:rPr>
          <w:rFonts w:ascii="仿宋" w:hAnsi="仿宋" w:eastAsia="仿宋"/>
          <w:color w:val="000000"/>
          <w:sz w:val="44"/>
        </w:rPr>
      </w:pPr>
    </w:p>
    <w:p>
      <w:pPr>
        <w:spacing w:line="480" w:lineRule="exact"/>
        <w:jc w:val="center"/>
        <w:rPr>
          <w:rFonts w:ascii="仿宋" w:hAnsi="仿宋" w:eastAsia="仿宋"/>
          <w:color w:val="000000"/>
          <w:sz w:val="44"/>
        </w:rPr>
      </w:pPr>
      <w:r>
        <w:rPr>
          <w:rFonts w:hint="eastAsia" w:ascii="仿宋" w:hAnsi="仿宋" w:eastAsia="仿宋"/>
          <w:color w:val="000000"/>
          <w:sz w:val="44"/>
        </w:rPr>
        <w:t>中审大厦高清视频监控系统</w:t>
      </w:r>
    </w:p>
    <w:p>
      <w:pPr>
        <w:spacing w:line="480" w:lineRule="exact"/>
        <w:jc w:val="center"/>
        <w:rPr>
          <w:rFonts w:ascii="仿宋" w:hAnsi="仿宋" w:eastAsia="仿宋"/>
          <w:color w:val="000000"/>
          <w:sz w:val="44"/>
        </w:rPr>
      </w:pPr>
      <w:r>
        <w:rPr>
          <w:rFonts w:hint="eastAsia" w:ascii="仿宋" w:hAnsi="仿宋" w:eastAsia="仿宋"/>
          <w:color w:val="000000"/>
          <w:sz w:val="44"/>
        </w:rPr>
        <w:t>维护保养合同</w:t>
      </w:r>
    </w:p>
    <w:p>
      <w:pPr>
        <w:spacing w:line="480" w:lineRule="exact"/>
        <w:jc w:val="center"/>
        <w:rPr>
          <w:rFonts w:ascii="仿宋" w:hAnsi="仿宋" w:eastAsia="仿宋"/>
          <w:color w:val="000000"/>
          <w:sz w:val="44"/>
        </w:rPr>
      </w:pPr>
    </w:p>
    <w:p>
      <w:pPr>
        <w:pStyle w:val="4"/>
        <w:spacing w:line="480" w:lineRule="exact"/>
        <w:rPr>
          <w:rFonts w:ascii="仿宋" w:hAnsi="仿宋" w:eastAsia="仿宋"/>
          <w:color w:val="000000"/>
          <w:sz w:val="28"/>
        </w:rPr>
      </w:pPr>
      <w:r>
        <w:rPr>
          <w:rFonts w:hint="eastAsia" w:ascii="仿宋" w:hAnsi="仿宋" w:eastAsia="仿宋"/>
          <w:color w:val="000000"/>
          <w:sz w:val="28"/>
        </w:rPr>
        <w:t>甲方：新中物业管理（中国）有限公司深圳分公司</w:t>
      </w:r>
    </w:p>
    <w:p>
      <w:pPr>
        <w:pStyle w:val="4"/>
        <w:spacing w:line="480" w:lineRule="exact"/>
        <w:rPr>
          <w:rFonts w:ascii="仿宋" w:hAnsi="仿宋" w:eastAsia="仿宋"/>
          <w:color w:val="000000"/>
          <w:sz w:val="28"/>
        </w:rPr>
      </w:pPr>
      <w:r>
        <w:rPr>
          <w:rFonts w:hint="eastAsia" w:ascii="仿宋" w:hAnsi="仿宋" w:eastAsia="仿宋"/>
          <w:color w:val="000000"/>
          <w:sz w:val="28"/>
        </w:rPr>
        <w:t>法定代表人/负责人：赵伟</w:t>
      </w:r>
    </w:p>
    <w:p>
      <w:pPr>
        <w:pStyle w:val="4"/>
        <w:spacing w:line="480" w:lineRule="exact"/>
        <w:rPr>
          <w:rFonts w:ascii="仿宋" w:hAnsi="仿宋" w:eastAsia="仿宋"/>
          <w:color w:val="000000"/>
          <w:sz w:val="28"/>
        </w:rPr>
      </w:pPr>
      <w:r>
        <w:rPr>
          <w:rFonts w:hint="eastAsia" w:ascii="仿宋" w:hAnsi="仿宋" w:eastAsia="仿宋"/>
          <w:color w:val="000000"/>
          <w:sz w:val="28"/>
        </w:rPr>
        <w:t>地址：深圳市罗湖区建设路2022号</w:t>
      </w:r>
      <w:r>
        <w:rPr>
          <w:rFonts w:ascii="仿宋" w:hAnsi="仿宋" w:eastAsia="仿宋"/>
          <w:color w:val="000000"/>
          <w:sz w:val="28"/>
        </w:rPr>
        <w:t>中国银行大厦</w:t>
      </w:r>
      <w:r>
        <w:rPr>
          <w:rFonts w:hint="eastAsia" w:ascii="仿宋" w:hAnsi="仿宋" w:eastAsia="仿宋"/>
          <w:color w:val="000000"/>
          <w:sz w:val="28"/>
        </w:rPr>
        <w:t>25楼</w:t>
      </w:r>
    </w:p>
    <w:p>
      <w:pPr>
        <w:pStyle w:val="4"/>
        <w:spacing w:line="480" w:lineRule="exact"/>
        <w:rPr>
          <w:rFonts w:ascii="仿宋" w:hAnsi="仿宋" w:eastAsia="仿宋"/>
          <w:color w:val="000000"/>
          <w:sz w:val="28"/>
        </w:rPr>
      </w:pPr>
      <w:r>
        <w:rPr>
          <w:rFonts w:hint="eastAsia" w:ascii="仿宋" w:hAnsi="仿宋" w:eastAsia="仿宋"/>
          <w:color w:val="000000"/>
          <w:sz w:val="28"/>
        </w:rPr>
        <w:t>电话：0755-83940152</w:t>
      </w:r>
    </w:p>
    <w:p>
      <w:pPr>
        <w:pStyle w:val="4"/>
        <w:spacing w:line="480" w:lineRule="exact"/>
        <w:rPr>
          <w:rFonts w:ascii="仿宋" w:hAnsi="仿宋" w:eastAsia="仿宋"/>
          <w:color w:val="000000"/>
          <w:sz w:val="28"/>
        </w:rPr>
      </w:pPr>
    </w:p>
    <w:p>
      <w:pPr>
        <w:pStyle w:val="4"/>
        <w:spacing w:line="480" w:lineRule="exact"/>
        <w:rPr>
          <w:rFonts w:ascii="仿宋" w:hAnsi="仿宋" w:eastAsia="仿宋"/>
          <w:color w:val="000000"/>
          <w:sz w:val="28"/>
        </w:rPr>
      </w:pPr>
      <w:r>
        <w:rPr>
          <w:rFonts w:hint="eastAsia" w:ascii="仿宋" w:hAnsi="仿宋" w:eastAsia="仿宋"/>
          <w:color w:val="000000"/>
          <w:sz w:val="28"/>
        </w:rPr>
        <w:t>乙方：深圳昌恩智能股份有限公司</w:t>
      </w:r>
      <w:bookmarkStart w:id="0" w:name="_GoBack"/>
      <w:bookmarkEnd w:id="0"/>
    </w:p>
    <w:p>
      <w:pPr>
        <w:pStyle w:val="4"/>
        <w:spacing w:line="480" w:lineRule="exact"/>
        <w:rPr>
          <w:rFonts w:ascii="仿宋" w:hAnsi="仿宋" w:eastAsia="仿宋"/>
          <w:color w:val="000000"/>
          <w:sz w:val="28"/>
        </w:rPr>
      </w:pPr>
      <w:r>
        <w:rPr>
          <w:rFonts w:hint="eastAsia" w:ascii="仿宋" w:hAnsi="仿宋" w:eastAsia="仿宋"/>
          <w:color w:val="000000"/>
          <w:sz w:val="28"/>
        </w:rPr>
        <w:t>法定代表人/负责人：刘恩元</w:t>
      </w:r>
    </w:p>
    <w:p>
      <w:pPr>
        <w:pStyle w:val="4"/>
        <w:spacing w:line="480" w:lineRule="exact"/>
        <w:rPr>
          <w:rFonts w:ascii="仿宋" w:hAnsi="仿宋" w:eastAsia="仿宋"/>
          <w:color w:val="000000"/>
          <w:sz w:val="28"/>
        </w:rPr>
      </w:pPr>
      <w:r>
        <w:rPr>
          <w:rFonts w:hint="eastAsia" w:ascii="仿宋" w:hAnsi="仿宋" w:eastAsia="仿宋"/>
          <w:color w:val="000000"/>
          <w:sz w:val="28"/>
        </w:rPr>
        <w:t>地址：</w:t>
      </w:r>
      <w:r>
        <w:rPr>
          <w:rFonts w:hint="eastAsia" w:ascii="仿宋" w:hAnsi="仿宋" w:eastAsia="仿宋"/>
          <w:color w:val="000000"/>
          <w:kern w:val="2"/>
          <w:sz w:val="28"/>
          <w:szCs w:val="22"/>
        </w:rPr>
        <w:t>深圳市盐田区海山街道沙头角深盐路南保发大厦第五层</w:t>
      </w:r>
    </w:p>
    <w:p>
      <w:pPr>
        <w:pStyle w:val="4"/>
        <w:spacing w:line="480" w:lineRule="exact"/>
        <w:rPr>
          <w:rFonts w:ascii="仿宋" w:hAnsi="仿宋" w:eastAsia="仿宋"/>
          <w:color w:val="000000"/>
          <w:sz w:val="28"/>
        </w:rPr>
      </w:pPr>
      <w:r>
        <w:rPr>
          <w:rFonts w:hint="eastAsia" w:ascii="仿宋" w:hAnsi="仿宋" w:eastAsia="仿宋"/>
          <w:color w:val="000000"/>
          <w:sz w:val="28"/>
        </w:rPr>
        <w:t>电话：0755-83932551 13501550750</w:t>
      </w:r>
    </w:p>
    <w:p>
      <w:pPr>
        <w:spacing w:line="480" w:lineRule="exact"/>
        <w:rPr>
          <w:rFonts w:ascii="仿宋" w:hAnsi="仿宋" w:eastAsia="仿宋"/>
          <w:color w:val="000000"/>
          <w:sz w:val="28"/>
        </w:rPr>
      </w:pPr>
    </w:p>
    <w:p>
      <w:pPr>
        <w:spacing w:line="480" w:lineRule="exact"/>
        <w:ind w:firstLine="570"/>
        <w:jc w:val="both"/>
        <w:rPr>
          <w:rFonts w:ascii="仿宋" w:hAnsi="仿宋" w:eastAsia="仿宋"/>
          <w:color w:val="000000"/>
          <w:sz w:val="28"/>
        </w:rPr>
      </w:pPr>
      <w:r>
        <w:rPr>
          <w:rFonts w:hint="eastAsia" w:ascii="仿宋" w:hAnsi="仿宋" w:eastAsia="仿宋"/>
          <w:color w:val="000000"/>
          <w:sz w:val="28"/>
        </w:rPr>
        <w:t>经甲乙双方协商，就甲方委托乙方承包</w:t>
      </w:r>
      <w:r>
        <w:rPr>
          <w:rFonts w:hint="eastAsia" w:ascii="仿宋" w:hAnsi="仿宋" w:eastAsia="仿宋"/>
          <w:color w:val="000000"/>
          <w:sz w:val="28"/>
          <w:u w:val="single"/>
        </w:rPr>
        <w:t>中审大厦高清视频监控系统维护保养</w:t>
      </w:r>
      <w:r>
        <w:rPr>
          <w:rFonts w:hint="eastAsia" w:ascii="仿宋" w:hAnsi="仿宋" w:eastAsia="仿宋"/>
          <w:color w:val="000000"/>
          <w:sz w:val="28"/>
        </w:rPr>
        <w:t>事宜达成</w:t>
      </w:r>
      <w:r>
        <w:rPr>
          <w:rFonts w:ascii="仿宋" w:hAnsi="仿宋" w:eastAsia="仿宋"/>
          <w:color w:val="000000"/>
          <w:sz w:val="28"/>
        </w:rPr>
        <w:t>一致</w:t>
      </w:r>
      <w:r>
        <w:rPr>
          <w:rFonts w:hint="eastAsia" w:ascii="仿宋" w:hAnsi="仿宋" w:eastAsia="仿宋"/>
          <w:color w:val="000000"/>
          <w:sz w:val="28"/>
        </w:rPr>
        <w:t>。为明确双方权利义务，经双方洽商签订合同，共同履行如下条款：</w:t>
      </w:r>
    </w:p>
    <w:p>
      <w:pPr>
        <w:tabs>
          <w:tab w:val="left" w:pos="1134"/>
          <w:tab w:val="left" w:pos="1276"/>
          <w:tab w:val="left" w:pos="1418"/>
        </w:tabs>
        <w:spacing w:line="480" w:lineRule="exact"/>
        <w:ind w:firstLine="562" w:firstLineChars="200"/>
        <w:jc w:val="both"/>
        <w:rPr>
          <w:rFonts w:ascii="仿宋" w:hAnsi="仿宋" w:eastAsia="仿宋"/>
          <w:b/>
          <w:bCs/>
          <w:color w:val="000000"/>
          <w:sz w:val="28"/>
        </w:rPr>
      </w:pPr>
      <w:r>
        <w:rPr>
          <w:rFonts w:hint="eastAsia" w:ascii="仿宋" w:hAnsi="仿宋" w:eastAsia="仿宋"/>
          <w:b/>
          <w:bCs/>
          <w:color w:val="000000"/>
          <w:sz w:val="28"/>
        </w:rPr>
        <w:t>一、维护保养内容：</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本维护保养合同采用包括整个高清视频监控系统中所有器材、设备、线路、管路的日常维修及维护，包含直接产生的人工费及税收的半包方式（不含故障设备的维修、更换费用）。</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对于人为损坏、自然灾害或其它不可抗拒等因素而引起的各种损坏不在本合同之列，但乙方有责任帮助甲方尽快恢复系统正常运行，其间发生之费用由甲方另行支付。</w:t>
      </w:r>
    </w:p>
    <w:p>
      <w:pPr>
        <w:numPr>
          <w:ilvl w:val="0"/>
          <w:numId w:val="1"/>
        </w:numPr>
        <w:tabs>
          <w:tab w:val="left" w:pos="1134"/>
          <w:tab w:val="left" w:pos="1276"/>
          <w:tab w:val="left" w:pos="1418"/>
        </w:tabs>
        <w:spacing w:line="480" w:lineRule="exact"/>
        <w:jc w:val="both"/>
        <w:rPr>
          <w:rFonts w:ascii="仿宋" w:hAnsi="仿宋" w:eastAsia="仿宋"/>
          <w:b/>
          <w:bCs/>
          <w:color w:val="000000"/>
          <w:sz w:val="28"/>
        </w:rPr>
      </w:pPr>
      <w:r>
        <w:rPr>
          <w:rFonts w:hint="eastAsia" w:ascii="仿宋" w:hAnsi="仿宋" w:eastAsia="仿宋"/>
          <w:b/>
          <w:bCs/>
          <w:color w:val="000000"/>
          <w:sz w:val="28"/>
        </w:rPr>
        <w:t>维护保养范围：</w:t>
      </w:r>
    </w:p>
    <w:p>
      <w:pPr>
        <w:pStyle w:val="3"/>
        <w:numPr>
          <w:ilvl w:val="0"/>
          <w:numId w:val="2"/>
        </w:numPr>
        <w:tabs>
          <w:tab w:val="left" w:pos="960"/>
        </w:tabs>
        <w:spacing w:line="480" w:lineRule="exact"/>
        <w:ind w:firstLine="27"/>
        <w:jc w:val="both"/>
        <w:rPr>
          <w:rFonts w:ascii="仿宋" w:hAnsi="仿宋" w:eastAsia="仿宋"/>
          <w:color w:val="000000"/>
          <w:kern w:val="2"/>
          <w:sz w:val="28"/>
        </w:rPr>
      </w:pPr>
      <w:r>
        <w:rPr>
          <w:rFonts w:hint="eastAsia" w:ascii="仿宋" w:hAnsi="仿宋" w:eastAsia="仿宋"/>
          <w:color w:val="000000"/>
          <w:kern w:val="2"/>
          <w:sz w:val="28"/>
        </w:rPr>
        <w:t>现有12台硬盘录像主机及对应184台摄像机的日常维护保养；</w:t>
      </w:r>
    </w:p>
    <w:p>
      <w:pPr>
        <w:pStyle w:val="3"/>
        <w:numPr>
          <w:ilvl w:val="0"/>
          <w:numId w:val="2"/>
        </w:numPr>
        <w:tabs>
          <w:tab w:val="left" w:pos="960"/>
        </w:tabs>
        <w:spacing w:line="480" w:lineRule="exact"/>
        <w:ind w:firstLine="27"/>
        <w:jc w:val="both"/>
        <w:rPr>
          <w:rFonts w:ascii="仿宋" w:hAnsi="仿宋" w:eastAsia="仿宋"/>
          <w:color w:val="000000"/>
          <w:kern w:val="2"/>
          <w:sz w:val="28"/>
        </w:rPr>
      </w:pPr>
      <w:r>
        <w:rPr>
          <w:rFonts w:hint="eastAsia" w:ascii="仿宋" w:hAnsi="仿宋" w:eastAsia="仿宋"/>
          <w:color w:val="000000"/>
          <w:kern w:val="2"/>
          <w:sz w:val="28"/>
        </w:rPr>
        <w:t>自然损坏设备的维修（含100元以内的零配件更换）；</w:t>
      </w:r>
    </w:p>
    <w:p>
      <w:pPr>
        <w:pStyle w:val="3"/>
        <w:numPr>
          <w:ilvl w:val="0"/>
          <w:numId w:val="2"/>
        </w:numPr>
        <w:tabs>
          <w:tab w:val="left" w:pos="960"/>
        </w:tabs>
        <w:spacing w:line="480" w:lineRule="exact"/>
        <w:ind w:firstLine="27"/>
        <w:jc w:val="both"/>
        <w:rPr>
          <w:rFonts w:ascii="仿宋" w:hAnsi="仿宋" w:eastAsia="仿宋"/>
          <w:color w:val="000000"/>
          <w:kern w:val="2"/>
          <w:sz w:val="28"/>
        </w:rPr>
      </w:pPr>
      <w:r>
        <w:rPr>
          <w:rFonts w:hint="eastAsia" w:ascii="仿宋" w:hAnsi="仿宋" w:eastAsia="仿宋"/>
          <w:color w:val="000000"/>
          <w:kern w:val="2"/>
          <w:sz w:val="28"/>
        </w:rPr>
        <w:t>小规模、小范围（10米以内）的前端设备及管线位置的迁移；</w:t>
      </w:r>
    </w:p>
    <w:p>
      <w:pPr>
        <w:pStyle w:val="3"/>
        <w:tabs>
          <w:tab w:val="left" w:pos="960"/>
        </w:tabs>
        <w:spacing w:line="480" w:lineRule="exact"/>
        <w:ind w:left="706" w:leftChars="187" w:hanging="257" w:hangingChars="92"/>
        <w:jc w:val="both"/>
        <w:rPr>
          <w:rFonts w:ascii="仿宋" w:hAnsi="仿宋" w:eastAsia="仿宋"/>
          <w:color w:val="000000"/>
          <w:kern w:val="2"/>
          <w:sz w:val="28"/>
        </w:rPr>
      </w:pPr>
      <w:r>
        <w:rPr>
          <w:rFonts w:hint="eastAsia" w:ascii="仿宋" w:hAnsi="仿宋" w:eastAsia="仿宋"/>
          <w:color w:val="000000"/>
          <w:kern w:val="2"/>
          <w:sz w:val="28"/>
        </w:rPr>
        <w:t>4.  其它相关管线、配件的日常维护保养。</w:t>
      </w:r>
    </w:p>
    <w:p>
      <w:pPr>
        <w:spacing w:line="480" w:lineRule="exact"/>
        <w:ind w:right="48" w:rightChars="20" w:firstLine="562" w:firstLineChars="200"/>
        <w:jc w:val="both"/>
        <w:rPr>
          <w:rFonts w:ascii="仿宋" w:hAnsi="仿宋" w:eastAsia="仿宋"/>
          <w:b/>
          <w:bCs/>
          <w:color w:val="000000"/>
          <w:sz w:val="28"/>
        </w:rPr>
      </w:pPr>
      <w:r>
        <w:rPr>
          <w:rFonts w:hint="eastAsia" w:ascii="仿宋" w:hAnsi="仿宋" w:eastAsia="仿宋"/>
          <w:b/>
          <w:bCs/>
          <w:color w:val="000000"/>
          <w:sz w:val="28"/>
        </w:rPr>
        <w:t>三、维护保养期限：</w:t>
      </w:r>
      <w:r>
        <w:rPr>
          <w:rFonts w:hint="eastAsia" w:ascii="仿宋" w:hAnsi="仿宋" w:eastAsia="仿宋"/>
          <w:color w:val="000000"/>
          <w:sz w:val="28"/>
          <w:u w:val="single"/>
        </w:rPr>
        <w:t xml:space="preserve"> 2024 </w:t>
      </w:r>
      <w:r>
        <w:rPr>
          <w:rFonts w:hint="eastAsia" w:ascii="仿宋" w:hAnsi="仿宋" w:eastAsia="仿宋"/>
          <w:color w:val="000000"/>
          <w:sz w:val="28"/>
        </w:rPr>
        <w:t>年</w:t>
      </w:r>
      <w:r>
        <w:rPr>
          <w:rFonts w:hint="eastAsia" w:ascii="仿宋" w:hAnsi="仿宋" w:eastAsia="仿宋"/>
          <w:color w:val="000000"/>
          <w:sz w:val="28"/>
          <w:u w:val="single"/>
        </w:rPr>
        <w:t xml:space="preserve"> 6 </w:t>
      </w:r>
      <w:r>
        <w:rPr>
          <w:rFonts w:hint="eastAsia" w:ascii="仿宋" w:hAnsi="仿宋" w:eastAsia="仿宋"/>
          <w:color w:val="000000"/>
          <w:sz w:val="28"/>
        </w:rPr>
        <w:t>月</w:t>
      </w:r>
      <w:r>
        <w:rPr>
          <w:rFonts w:hint="eastAsia" w:ascii="仿宋" w:hAnsi="仿宋" w:eastAsia="仿宋"/>
          <w:color w:val="000000"/>
          <w:sz w:val="28"/>
          <w:u w:val="single"/>
        </w:rPr>
        <w:t xml:space="preserve"> 1 </w:t>
      </w:r>
      <w:r>
        <w:rPr>
          <w:rFonts w:hint="eastAsia" w:ascii="仿宋" w:hAnsi="仿宋" w:eastAsia="仿宋"/>
          <w:color w:val="000000"/>
          <w:sz w:val="28"/>
        </w:rPr>
        <w:t>日至</w:t>
      </w:r>
      <w:r>
        <w:rPr>
          <w:rFonts w:hint="eastAsia" w:ascii="仿宋" w:hAnsi="仿宋" w:eastAsia="仿宋"/>
          <w:color w:val="000000"/>
          <w:sz w:val="28"/>
          <w:u w:val="single"/>
        </w:rPr>
        <w:t xml:space="preserve"> 2026 </w:t>
      </w:r>
      <w:r>
        <w:rPr>
          <w:rFonts w:hint="eastAsia" w:ascii="仿宋" w:hAnsi="仿宋" w:eastAsia="仿宋"/>
          <w:color w:val="000000"/>
          <w:sz w:val="28"/>
        </w:rPr>
        <w:t>年</w:t>
      </w:r>
      <w:r>
        <w:rPr>
          <w:rFonts w:hint="eastAsia" w:ascii="仿宋" w:hAnsi="仿宋" w:eastAsia="仿宋"/>
          <w:color w:val="000000"/>
          <w:sz w:val="28"/>
          <w:u w:val="single"/>
        </w:rPr>
        <w:t xml:space="preserve"> 4 </w:t>
      </w:r>
      <w:r>
        <w:rPr>
          <w:rFonts w:hint="eastAsia" w:ascii="仿宋" w:hAnsi="仿宋" w:eastAsia="仿宋"/>
          <w:color w:val="000000"/>
          <w:sz w:val="28"/>
        </w:rPr>
        <w:t>月</w:t>
      </w:r>
      <w:r>
        <w:rPr>
          <w:rFonts w:hint="eastAsia" w:ascii="仿宋" w:hAnsi="仿宋" w:eastAsia="仿宋"/>
          <w:color w:val="000000"/>
          <w:sz w:val="28"/>
          <w:u w:val="single"/>
        </w:rPr>
        <w:t xml:space="preserve"> 30</w:t>
      </w:r>
      <w:r>
        <w:rPr>
          <w:rFonts w:hint="eastAsia" w:ascii="仿宋" w:hAnsi="仿宋" w:eastAsia="仿宋"/>
          <w:color w:val="000000"/>
          <w:sz w:val="28"/>
        </w:rPr>
        <w:t>日。</w:t>
      </w:r>
    </w:p>
    <w:p>
      <w:pPr>
        <w:pStyle w:val="4"/>
        <w:spacing w:line="480" w:lineRule="exact"/>
        <w:ind w:firstLine="562" w:firstLineChars="200"/>
        <w:jc w:val="both"/>
        <w:rPr>
          <w:rFonts w:ascii="仿宋" w:hAnsi="仿宋" w:eastAsia="仿宋"/>
          <w:color w:val="000000"/>
          <w:sz w:val="28"/>
        </w:rPr>
      </w:pPr>
      <w:r>
        <w:rPr>
          <w:rFonts w:hint="eastAsia" w:ascii="仿宋" w:hAnsi="仿宋" w:eastAsia="仿宋"/>
          <w:b/>
          <w:bCs/>
          <w:color w:val="000000"/>
          <w:sz w:val="28"/>
        </w:rPr>
        <w:t xml:space="preserve">四、维护保养费用： </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本合同维护保养费用为含税人民币</w:t>
      </w:r>
      <w:r>
        <w:rPr>
          <w:rFonts w:hint="eastAsia" w:ascii="仿宋" w:hAnsi="仿宋" w:eastAsia="仿宋"/>
          <w:color w:val="000000"/>
          <w:kern w:val="2"/>
          <w:sz w:val="28"/>
          <w:u w:val="single"/>
        </w:rPr>
        <w:t>42</w:t>
      </w:r>
      <w:r>
        <w:rPr>
          <w:rFonts w:hint="eastAsia" w:ascii="仿宋" w:hAnsi="仿宋" w:eastAsia="仿宋"/>
          <w:color w:val="000000"/>
          <w:kern w:val="2"/>
          <w:sz w:val="28"/>
          <w:u w:val="single"/>
        </w:rPr>
        <w:t>,166.59</w:t>
      </w:r>
      <w:r>
        <w:rPr>
          <w:rFonts w:hint="eastAsia" w:ascii="仿宋" w:hAnsi="仿宋" w:eastAsia="仿宋"/>
          <w:color w:val="000000"/>
          <w:kern w:val="2"/>
          <w:sz w:val="28"/>
        </w:rPr>
        <w:t>元(大写：</w:t>
      </w:r>
      <w:r>
        <w:rPr>
          <w:rFonts w:hint="eastAsia" w:ascii="仿宋" w:hAnsi="仿宋" w:eastAsia="仿宋"/>
          <w:color w:val="000000"/>
          <w:kern w:val="2"/>
          <w:sz w:val="28"/>
          <w:u w:val="single"/>
        </w:rPr>
        <w:t>人民币肆万贰仟壹佰陆拾陆元伍角玖分</w:t>
      </w:r>
      <w:r>
        <w:rPr>
          <w:rFonts w:hint="eastAsia" w:ascii="仿宋" w:hAnsi="仿宋" w:eastAsia="仿宋"/>
          <w:color w:val="000000"/>
          <w:kern w:val="2"/>
          <w:sz w:val="28"/>
        </w:rPr>
        <w:t>)，不含税金额不超过人民币</w:t>
      </w:r>
      <w:r>
        <w:rPr>
          <w:rFonts w:hint="eastAsia" w:ascii="仿宋" w:hAnsi="仿宋" w:eastAsia="仿宋"/>
          <w:color w:val="000000"/>
          <w:kern w:val="2"/>
          <w:sz w:val="28"/>
          <w:u w:val="single"/>
        </w:rPr>
        <w:t>39</w:t>
      </w:r>
      <w:r>
        <w:rPr>
          <w:rFonts w:ascii="仿宋" w:hAnsi="仿宋" w:eastAsia="仿宋"/>
          <w:color w:val="000000"/>
          <w:kern w:val="2"/>
          <w:sz w:val="28"/>
          <w:u w:val="single"/>
        </w:rPr>
        <w:t>,</w:t>
      </w:r>
      <w:r>
        <w:rPr>
          <w:rFonts w:hint="eastAsia" w:ascii="仿宋" w:hAnsi="仿宋" w:eastAsia="仿宋"/>
          <w:color w:val="000000"/>
          <w:kern w:val="2"/>
          <w:sz w:val="28"/>
          <w:u w:val="single"/>
        </w:rPr>
        <w:t>779</w:t>
      </w:r>
      <w:r>
        <w:rPr>
          <w:rFonts w:ascii="仿宋" w:hAnsi="仿宋" w:eastAsia="仿宋"/>
          <w:color w:val="000000"/>
          <w:kern w:val="2"/>
          <w:sz w:val="28"/>
          <w:u w:val="single"/>
        </w:rPr>
        <w:t>.</w:t>
      </w:r>
      <w:r>
        <w:rPr>
          <w:rFonts w:hint="eastAsia" w:ascii="仿宋" w:hAnsi="仿宋" w:eastAsia="仿宋"/>
          <w:color w:val="000000"/>
          <w:kern w:val="2"/>
          <w:sz w:val="28"/>
          <w:u w:val="single"/>
        </w:rPr>
        <w:t>80</w:t>
      </w:r>
      <w:r>
        <w:rPr>
          <w:rFonts w:hint="eastAsia" w:ascii="仿宋" w:hAnsi="仿宋" w:eastAsia="仿宋"/>
          <w:color w:val="000000"/>
          <w:kern w:val="2"/>
          <w:sz w:val="28"/>
        </w:rPr>
        <w:t>元，增值税税率为6%。每月维保费用为人民币</w:t>
      </w:r>
      <w:r>
        <w:rPr>
          <w:rFonts w:hint="eastAsia" w:ascii="仿宋" w:hAnsi="仿宋" w:eastAsia="仿宋"/>
          <w:color w:val="000000"/>
          <w:kern w:val="2"/>
          <w:sz w:val="28"/>
          <w:u w:val="single"/>
        </w:rPr>
        <w:t>1,833.33</w:t>
      </w:r>
      <w:r>
        <w:rPr>
          <w:rFonts w:hint="eastAsia" w:ascii="仿宋" w:hAnsi="仿宋" w:eastAsia="仿宋"/>
          <w:color w:val="000000"/>
          <w:kern w:val="2"/>
          <w:sz w:val="28"/>
        </w:rPr>
        <w:t>元/月（含税），不含税人民币</w:t>
      </w:r>
      <w:r>
        <w:rPr>
          <w:rFonts w:ascii="仿宋" w:hAnsi="仿宋" w:eastAsia="仿宋"/>
          <w:color w:val="000000"/>
          <w:kern w:val="2"/>
          <w:sz w:val="28"/>
          <w:u w:val="single"/>
        </w:rPr>
        <w:t>1,729.56</w:t>
      </w:r>
      <w:r>
        <w:rPr>
          <w:rFonts w:hint="eastAsia" w:ascii="仿宋" w:hAnsi="仿宋" w:eastAsia="仿宋"/>
          <w:color w:val="000000"/>
          <w:kern w:val="2"/>
          <w:sz w:val="28"/>
        </w:rPr>
        <w:t>元。该费用中已包括监控系统中所有设备、管线的日常维护保养之人工费用、税金（不包含故障设备的维修、更换费用）。在本合同履行期间监控设施设备的维护保养服务费用不因材料、劳务成本的变动或其他任何原因而作调整，但如后续相关法律法规、监管规定等变化导致本合同约定使用的增值税税率发生调整，不影响合同中的不含增值税价格，双方适用调整后的增值税税率计算增值税金额，如调整后的含增值税价格超过本合同约定总价款的，甲方有权通知乙方中止合同的履行，待甲方完成内部程序后与乙方据实结算，结算期限另行协商确定。在服务期限内，若服务数量或服务次数出现增加或减少，则相应服务费用也发生变化。</w:t>
      </w:r>
    </w:p>
    <w:p>
      <w:pPr>
        <w:pStyle w:val="4"/>
        <w:spacing w:line="480" w:lineRule="exact"/>
        <w:ind w:firstLine="562" w:firstLineChars="200"/>
        <w:jc w:val="both"/>
        <w:rPr>
          <w:rFonts w:ascii="仿宋" w:hAnsi="仿宋" w:eastAsia="仿宋"/>
          <w:color w:val="000000"/>
          <w:sz w:val="28"/>
        </w:rPr>
      </w:pPr>
      <w:r>
        <w:rPr>
          <w:rFonts w:hint="eastAsia" w:ascii="仿宋" w:hAnsi="仿宋" w:eastAsia="仿宋"/>
          <w:b/>
          <w:bCs/>
          <w:color w:val="000000"/>
          <w:sz w:val="28"/>
        </w:rPr>
        <w:t>五、付款方式及开票信息：</w:t>
      </w:r>
    </w:p>
    <w:p>
      <w:pPr>
        <w:pStyle w:val="4"/>
        <w:spacing w:line="480" w:lineRule="exact"/>
        <w:ind w:firstLine="561"/>
        <w:jc w:val="both"/>
        <w:rPr>
          <w:rFonts w:ascii="仿宋" w:hAnsi="仿宋" w:eastAsia="仿宋"/>
          <w:color w:val="000000"/>
          <w:sz w:val="28"/>
        </w:rPr>
      </w:pPr>
      <w:r>
        <w:rPr>
          <w:rFonts w:hint="eastAsia" w:ascii="仿宋" w:hAnsi="仿宋" w:eastAsia="仿宋"/>
          <w:color w:val="000000"/>
          <w:sz w:val="28"/>
        </w:rPr>
        <w:t>1.本项目监控设施设备维护保养服务费用按自然季度结算，不足一季按月结算，在乙方提供符合本合同约定的服务、并提供其开具的合法有效的税率为6%(为乙方适用的增值税税率)的增值税专用发票及监控设施设备维护保养服务记录的前提下，由甲方根据乙方提供的服务情况按照附件三《供应商履约情况评价表》的内容进行考核，并以人民币5,499.99元/季为结算基数，按照以下分值对应的结算比例计算当期服务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tcBorders>
              <w:top w:val="single" w:color="auto" w:sz="4" w:space="0"/>
              <w:left w:val="single" w:color="auto" w:sz="4" w:space="0"/>
              <w:bottom w:val="single" w:color="auto" w:sz="4" w:space="0"/>
              <w:right w:val="single" w:color="auto" w:sz="4" w:space="0"/>
            </w:tcBorders>
          </w:tcPr>
          <w:p>
            <w:pPr>
              <w:snapToGrid w:val="0"/>
              <w:spacing w:line="480" w:lineRule="exact"/>
              <w:jc w:val="center"/>
              <w:rPr>
                <w:rFonts w:ascii="仿宋" w:hAnsi="仿宋" w:eastAsia="仿宋"/>
                <w:sz w:val="28"/>
                <w:szCs w:val="28"/>
              </w:rPr>
            </w:pPr>
            <w:r>
              <w:rPr>
                <w:rFonts w:hint="eastAsia" w:ascii="仿宋" w:hAnsi="仿宋" w:eastAsia="仿宋"/>
                <w:sz w:val="28"/>
                <w:szCs w:val="28"/>
              </w:rPr>
              <w:t>服务质量考核分值区间</w:t>
            </w:r>
          </w:p>
        </w:tc>
        <w:tc>
          <w:tcPr>
            <w:tcW w:w="2268" w:type="dxa"/>
            <w:tcBorders>
              <w:top w:val="single" w:color="auto" w:sz="4" w:space="0"/>
              <w:left w:val="single" w:color="auto" w:sz="4" w:space="0"/>
              <w:bottom w:val="single" w:color="auto" w:sz="4" w:space="0"/>
              <w:right w:val="single" w:color="auto" w:sz="4" w:space="0"/>
            </w:tcBorders>
          </w:tcPr>
          <w:p>
            <w:pPr>
              <w:snapToGrid w:val="0"/>
              <w:spacing w:line="480" w:lineRule="exact"/>
              <w:jc w:val="center"/>
              <w:rPr>
                <w:rFonts w:ascii="仿宋" w:hAnsi="仿宋" w:eastAsia="仿宋"/>
                <w:sz w:val="28"/>
                <w:szCs w:val="28"/>
              </w:rPr>
            </w:pPr>
            <w:r>
              <w:rPr>
                <w:rFonts w:hint="eastAsia" w:ascii="仿宋" w:hAnsi="仿宋" w:eastAsia="仿宋"/>
                <w:sz w:val="28"/>
                <w:szCs w:val="28"/>
              </w:rPr>
              <w:t>服务费结算比例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tcBorders>
              <w:top w:val="single" w:color="auto" w:sz="4" w:space="0"/>
              <w:left w:val="single" w:color="auto" w:sz="4" w:space="0"/>
              <w:bottom w:val="single" w:color="auto" w:sz="4" w:space="0"/>
              <w:right w:val="single" w:color="auto" w:sz="4" w:space="0"/>
            </w:tcBorders>
          </w:tcPr>
          <w:p>
            <w:pPr>
              <w:snapToGrid w:val="0"/>
              <w:spacing w:line="480" w:lineRule="exact"/>
              <w:rPr>
                <w:rFonts w:ascii="仿宋" w:hAnsi="仿宋" w:eastAsia="仿宋"/>
                <w:sz w:val="28"/>
                <w:szCs w:val="28"/>
              </w:rPr>
            </w:pPr>
            <w:r>
              <w:rPr>
                <w:rFonts w:hint="eastAsia" w:ascii="仿宋" w:hAnsi="仿宋" w:eastAsia="仿宋"/>
                <w:sz w:val="28"/>
                <w:szCs w:val="28"/>
              </w:rPr>
              <w:t>80分（含）以上</w:t>
            </w:r>
          </w:p>
        </w:tc>
        <w:tc>
          <w:tcPr>
            <w:tcW w:w="2268" w:type="dxa"/>
            <w:tcBorders>
              <w:top w:val="single" w:color="auto" w:sz="4" w:space="0"/>
              <w:left w:val="single" w:color="auto" w:sz="4" w:space="0"/>
              <w:bottom w:val="single" w:color="auto" w:sz="4" w:space="0"/>
              <w:right w:val="single" w:color="auto" w:sz="4" w:space="0"/>
            </w:tcBorders>
          </w:tcPr>
          <w:p>
            <w:pPr>
              <w:snapToGrid w:val="0"/>
              <w:spacing w:line="480" w:lineRule="exact"/>
              <w:jc w:val="right"/>
              <w:rPr>
                <w:rFonts w:ascii="仿宋" w:hAnsi="仿宋" w:eastAsia="仿宋"/>
                <w:sz w:val="28"/>
                <w:szCs w:val="28"/>
              </w:rPr>
            </w:pPr>
            <w:r>
              <w:rPr>
                <w:rFonts w:hint="eastAsia" w:ascii="仿宋" w:hAnsi="仿宋" w:eastAsia="仿宋"/>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tcBorders>
              <w:top w:val="single" w:color="auto" w:sz="4" w:space="0"/>
              <w:left w:val="single" w:color="auto" w:sz="4" w:space="0"/>
              <w:bottom w:val="single" w:color="auto" w:sz="4" w:space="0"/>
              <w:right w:val="single" w:color="auto" w:sz="4" w:space="0"/>
            </w:tcBorders>
          </w:tcPr>
          <w:p>
            <w:pPr>
              <w:snapToGrid w:val="0"/>
              <w:spacing w:line="480" w:lineRule="exact"/>
              <w:rPr>
                <w:rFonts w:ascii="仿宋" w:hAnsi="仿宋" w:eastAsia="仿宋"/>
                <w:sz w:val="28"/>
                <w:szCs w:val="28"/>
              </w:rPr>
            </w:pPr>
            <w:r>
              <w:rPr>
                <w:rFonts w:hint="eastAsia" w:ascii="仿宋" w:hAnsi="仿宋" w:eastAsia="仿宋"/>
                <w:sz w:val="28"/>
                <w:szCs w:val="28"/>
              </w:rPr>
              <w:t>70分（含）以上但低于80分（不含）</w:t>
            </w:r>
          </w:p>
        </w:tc>
        <w:tc>
          <w:tcPr>
            <w:tcW w:w="2268" w:type="dxa"/>
            <w:tcBorders>
              <w:top w:val="single" w:color="auto" w:sz="4" w:space="0"/>
              <w:left w:val="single" w:color="auto" w:sz="4" w:space="0"/>
              <w:bottom w:val="single" w:color="auto" w:sz="4" w:space="0"/>
              <w:right w:val="single" w:color="auto" w:sz="4" w:space="0"/>
            </w:tcBorders>
          </w:tcPr>
          <w:p>
            <w:pPr>
              <w:snapToGrid w:val="0"/>
              <w:spacing w:line="480" w:lineRule="exact"/>
              <w:jc w:val="right"/>
              <w:rPr>
                <w:rFonts w:ascii="仿宋" w:hAnsi="仿宋" w:eastAsia="仿宋"/>
                <w:sz w:val="28"/>
                <w:szCs w:val="28"/>
              </w:rPr>
            </w:pPr>
            <w:r>
              <w:rPr>
                <w:rFonts w:hint="eastAsia" w:ascii="仿宋" w:hAnsi="仿宋" w:eastAsia="仿宋"/>
                <w:sz w:val="28"/>
                <w:szCs w:val="28"/>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tcBorders>
              <w:top w:val="single" w:color="auto" w:sz="4" w:space="0"/>
              <w:left w:val="single" w:color="auto" w:sz="4" w:space="0"/>
              <w:bottom w:val="single" w:color="auto" w:sz="4" w:space="0"/>
              <w:right w:val="single" w:color="auto" w:sz="4" w:space="0"/>
            </w:tcBorders>
          </w:tcPr>
          <w:p>
            <w:pPr>
              <w:snapToGrid w:val="0"/>
              <w:spacing w:line="480" w:lineRule="exact"/>
              <w:rPr>
                <w:rFonts w:ascii="仿宋" w:hAnsi="仿宋" w:eastAsia="仿宋"/>
                <w:sz w:val="28"/>
                <w:szCs w:val="28"/>
              </w:rPr>
            </w:pPr>
            <w:r>
              <w:rPr>
                <w:rFonts w:hint="eastAsia" w:ascii="仿宋" w:hAnsi="仿宋" w:eastAsia="仿宋"/>
                <w:sz w:val="28"/>
                <w:szCs w:val="28"/>
              </w:rPr>
              <w:t>60分（含）以上但低于70分（不含）</w:t>
            </w:r>
          </w:p>
        </w:tc>
        <w:tc>
          <w:tcPr>
            <w:tcW w:w="2268" w:type="dxa"/>
            <w:tcBorders>
              <w:top w:val="single" w:color="auto" w:sz="4" w:space="0"/>
              <w:left w:val="single" w:color="auto" w:sz="4" w:space="0"/>
              <w:bottom w:val="single" w:color="auto" w:sz="4" w:space="0"/>
              <w:right w:val="single" w:color="auto" w:sz="4" w:space="0"/>
            </w:tcBorders>
          </w:tcPr>
          <w:p>
            <w:pPr>
              <w:snapToGrid w:val="0"/>
              <w:spacing w:line="480" w:lineRule="exact"/>
              <w:jc w:val="right"/>
              <w:rPr>
                <w:rFonts w:ascii="仿宋" w:hAnsi="仿宋" w:eastAsia="仿宋"/>
                <w:sz w:val="28"/>
                <w:szCs w:val="28"/>
              </w:rPr>
            </w:pPr>
            <w:r>
              <w:rPr>
                <w:rFonts w:hint="eastAsia" w:ascii="仿宋" w:hAnsi="仿宋" w:eastAsia="仿宋"/>
                <w:sz w:val="28"/>
                <w:szCs w:val="2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tcBorders>
              <w:top w:val="single" w:color="auto" w:sz="4" w:space="0"/>
              <w:left w:val="single" w:color="auto" w:sz="4" w:space="0"/>
              <w:bottom w:val="single" w:color="auto" w:sz="4" w:space="0"/>
              <w:right w:val="single" w:color="auto" w:sz="4" w:space="0"/>
            </w:tcBorders>
          </w:tcPr>
          <w:p>
            <w:pPr>
              <w:snapToGrid w:val="0"/>
              <w:spacing w:line="480" w:lineRule="exact"/>
              <w:rPr>
                <w:rFonts w:ascii="仿宋" w:hAnsi="仿宋" w:eastAsia="仿宋"/>
                <w:sz w:val="28"/>
                <w:szCs w:val="28"/>
              </w:rPr>
            </w:pPr>
            <w:r>
              <w:rPr>
                <w:rFonts w:hint="eastAsia" w:ascii="仿宋" w:hAnsi="仿宋" w:eastAsia="仿宋"/>
                <w:sz w:val="28"/>
                <w:szCs w:val="28"/>
              </w:rPr>
              <w:t>低于60分（不含）</w:t>
            </w:r>
          </w:p>
        </w:tc>
        <w:tc>
          <w:tcPr>
            <w:tcW w:w="2268" w:type="dxa"/>
            <w:tcBorders>
              <w:top w:val="single" w:color="auto" w:sz="4" w:space="0"/>
              <w:left w:val="single" w:color="auto" w:sz="4" w:space="0"/>
              <w:bottom w:val="single" w:color="auto" w:sz="4" w:space="0"/>
              <w:right w:val="single" w:color="auto" w:sz="4" w:space="0"/>
            </w:tcBorders>
          </w:tcPr>
          <w:p>
            <w:pPr>
              <w:snapToGrid w:val="0"/>
              <w:spacing w:line="480" w:lineRule="exact"/>
              <w:jc w:val="right"/>
              <w:rPr>
                <w:rFonts w:ascii="仿宋" w:hAnsi="仿宋" w:eastAsia="仿宋"/>
                <w:sz w:val="28"/>
                <w:szCs w:val="28"/>
              </w:rPr>
            </w:pPr>
            <w:r>
              <w:rPr>
                <w:rFonts w:hint="eastAsia" w:ascii="仿宋" w:hAnsi="仿宋" w:eastAsia="仿宋"/>
                <w:sz w:val="28"/>
                <w:szCs w:val="28"/>
              </w:rPr>
              <w:t>80%</w:t>
            </w:r>
          </w:p>
        </w:tc>
      </w:tr>
    </w:tbl>
    <w:p>
      <w:pPr>
        <w:pStyle w:val="4"/>
        <w:spacing w:line="480" w:lineRule="exact"/>
        <w:ind w:firstLine="561"/>
        <w:jc w:val="both"/>
        <w:rPr>
          <w:rFonts w:ascii="仿宋" w:hAnsi="仿宋" w:eastAsia="仿宋"/>
          <w:color w:val="000000"/>
          <w:sz w:val="28"/>
        </w:rPr>
      </w:pPr>
      <w:r>
        <w:rPr>
          <w:rFonts w:hint="eastAsia" w:ascii="仿宋" w:hAnsi="仿宋" w:eastAsia="仿宋"/>
          <w:color w:val="000000"/>
          <w:sz w:val="28"/>
        </w:rPr>
        <w:t>完成考核后的10个工作日内按考核分值计算的服务费金额由甲方以银行转账方式支付给乙方。</w:t>
      </w:r>
    </w:p>
    <w:p>
      <w:pPr>
        <w:pStyle w:val="4"/>
        <w:spacing w:line="480" w:lineRule="exact"/>
        <w:ind w:firstLine="561"/>
        <w:jc w:val="both"/>
        <w:rPr>
          <w:rFonts w:ascii="仿宋" w:hAnsi="仿宋" w:eastAsia="仿宋"/>
          <w:color w:val="000000"/>
          <w:sz w:val="28"/>
        </w:rPr>
      </w:pPr>
      <w:r>
        <w:rPr>
          <w:rFonts w:hint="eastAsia" w:ascii="仿宋" w:hAnsi="仿宋" w:eastAsia="仿宋"/>
          <w:color w:val="000000"/>
          <w:sz w:val="28"/>
        </w:rPr>
        <w:t>甲方根据乙方提供的服务情况如乙方连续两次的服务考核分数低于60分（不含），甲方有权提前解除合同。</w:t>
      </w:r>
    </w:p>
    <w:p>
      <w:pPr>
        <w:pStyle w:val="4"/>
        <w:spacing w:line="480" w:lineRule="exact"/>
        <w:ind w:firstLine="561"/>
        <w:jc w:val="both"/>
        <w:rPr>
          <w:rFonts w:ascii="仿宋" w:hAnsi="仿宋" w:eastAsia="仿宋"/>
          <w:color w:val="000000"/>
          <w:sz w:val="28"/>
        </w:rPr>
      </w:pPr>
      <w:r>
        <w:rPr>
          <w:rFonts w:hint="eastAsia" w:ascii="仿宋" w:hAnsi="仿宋" w:eastAsia="仿宋"/>
          <w:color w:val="000000"/>
          <w:sz w:val="28"/>
        </w:rPr>
        <w:t>2.开票信息：</w:t>
      </w:r>
    </w:p>
    <w:tbl>
      <w:tblPr>
        <w:tblStyle w:val="8"/>
        <w:tblW w:w="90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360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787" w:type="dxa"/>
            <w:vAlign w:val="center"/>
          </w:tcPr>
          <w:p>
            <w:pPr>
              <w:spacing w:line="360" w:lineRule="exact"/>
              <w:jc w:val="center"/>
              <w:rPr>
                <w:rFonts w:ascii="仿宋" w:hAnsi="仿宋" w:eastAsia="仿宋"/>
                <w:b/>
                <w:color w:val="000000"/>
                <w:sz w:val="28"/>
                <w:szCs w:val="24"/>
              </w:rPr>
            </w:pPr>
            <w:r>
              <w:rPr>
                <w:rFonts w:hint="eastAsia" w:ascii="仿宋" w:hAnsi="仿宋" w:eastAsia="仿宋"/>
                <w:b/>
                <w:color w:val="000000"/>
                <w:sz w:val="28"/>
                <w:szCs w:val="24"/>
              </w:rPr>
              <w:t>双方信息</w:t>
            </w:r>
          </w:p>
        </w:tc>
        <w:tc>
          <w:tcPr>
            <w:tcW w:w="3600" w:type="dxa"/>
            <w:vAlign w:val="center"/>
          </w:tcPr>
          <w:p>
            <w:pPr>
              <w:spacing w:line="360" w:lineRule="exact"/>
              <w:jc w:val="center"/>
              <w:rPr>
                <w:rFonts w:ascii="仿宋" w:hAnsi="仿宋" w:eastAsia="仿宋"/>
                <w:b/>
                <w:color w:val="000000"/>
                <w:sz w:val="28"/>
                <w:szCs w:val="24"/>
              </w:rPr>
            </w:pPr>
            <w:r>
              <w:rPr>
                <w:rFonts w:hint="eastAsia" w:ascii="仿宋" w:hAnsi="仿宋" w:eastAsia="仿宋"/>
                <w:b/>
                <w:color w:val="000000"/>
                <w:sz w:val="28"/>
                <w:szCs w:val="24"/>
              </w:rPr>
              <w:t>甲方开票信息</w:t>
            </w:r>
          </w:p>
        </w:tc>
        <w:tc>
          <w:tcPr>
            <w:tcW w:w="3690" w:type="dxa"/>
            <w:vAlign w:val="center"/>
          </w:tcPr>
          <w:p>
            <w:pPr>
              <w:spacing w:line="360" w:lineRule="exact"/>
              <w:jc w:val="center"/>
              <w:rPr>
                <w:rFonts w:ascii="仿宋" w:hAnsi="仿宋" w:eastAsia="仿宋"/>
                <w:b/>
                <w:color w:val="000000"/>
                <w:sz w:val="28"/>
                <w:szCs w:val="24"/>
              </w:rPr>
            </w:pPr>
            <w:r>
              <w:rPr>
                <w:rFonts w:hint="eastAsia" w:ascii="仿宋" w:hAnsi="仿宋" w:eastAsia="仿宋"/>
                <w:b/>
                <w:color w:val="000000"/>
                <w:sz w:val="28"/>
                <w:szCs w:val="24"/>
              </w:rPr>
              <w:t>乙方开票信息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87"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单位名称</w:t>
            </w:r>
          </w:p>
        </w:tc>
        <w:tc>
          <w:tcPr>
            <w:tcW w:w="3600" w:type="dxa"/>
            <w:vAlign w:val="center"/>
          </w:tcPr>
          <w:p>
            <w:pPr>
              <w:spacing w:line="360" w:lineRule="exact"/>
              <w:jc w:val="center"/>
              <w:rPr>
                <w:rFonts w:ascii="仿宋" w:hAnsi="仿宋" w:eastAsia="仿宋"/>
                <w:sz w:val="28"/>
                <w:szCs w:val="24"/>
              </w:rPr>
            </w:pPr>
            <w:r>
              <w:rPr>
                <w:rFonts w:hint="eastAsia" w:ascii="仿宋" w:hAnsi="仿宋" w:eastAsia="仿宋"/>
                <w:sz w:val="28"/>
                <w:szCs w:val="28"/>
              </w:rPr>
              <w:t>新中物业管理（</w:t>
            </w:r>
            <w:r>
              <w:rPr>
                <w:rFonts w:ascii="仿宋" w:hAnsi="仿宋" w:eastAsia="仿宋"/>
                <w:sz w:val="28"/>
                <w:szCs w:val="28"/>
              </w:rPr>
              <w:t>中国</w:t>
            </w:r>
            <w:r>
              <w:rPr>
                <w:rFonts w:hint="eastAsia" w:ascii="仿宋" w:hAnsi="仿宋" w:eastAsia="仿宋"/>
                <w:sz w:val="28"/>
                <w:szCs w:val="28"/>
              </w:rPr>
              <w:t>）</w:t>
            </w:r>
            <w:r>
              <w:rPr>
                <w:rFonts w:ascii="仿宋" w:hAnsi="仿宋" w:eastAsia="仿宋"/>
                <w:sz w:val="28"/>
                <w:szCs w:val="28"/>
              </w:rPr>
              <w:t>有限</w:t>
            </w:r>
            <w:r>
              <w:rPr>
                <w:rFonts w:hint="eastAsia" w:ascii="仿宋" w:hAnsi="仿宋" w:eastAsia="仿宋"/>
                <w:sz w:val="28"/>
                <w:szCs w:val="28"/>
              </w:rPr>
              <w:t>公司深圳分公司</w:t>
            </w:r>
          </w:p>
        </w:tc>
        <w:tc>
          <w:tcPr>
            <w:tcW w:w="3690"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深圳昌恩智能股份有限公司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787"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统一社会信用代码</w:t>
            </w:r>
          </w:p>
        </w:tc>
        <w:tc>
          <w:tcPr>
            <w:tcW w:w="3600" w:type="dxa"/>
            <w:vAlign w:val="center"/>
          </w:tcPr>
          <w:p>
            <w:pPr>
              <w:spacing w:line="360" w:lineRule="exact"/>
              <w:jc w:val="center"/>
              <w:rPr>
                <w:rFonts w:ascii="仿宋" w:hAnsi="仿宋" w:eastAsia="仿宋"/>
                <w:sz w:val="28"/>
                <w:szCs w:val="24"/>
              </w:rPr>
            </w:pPr>
            <w:r>
              <w:rPr>
                <w:rFonts w:hint="eastAsia" w:ascii="仿宋" w:hAnsi="仿宋" w:eastAsia="仿宋"/>
                <w:sz w:val="28"/>
                <w:szCs w:val="28"/>
              </w:rPr>
              <w:t>91440300771616655U</w:t>
            </w:r>
          </w:p>
        </w:tc>
        <w:tc>
          <w:tcPr>
            <w:tcW w:w="3690"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91440300708408263E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787"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开户银行</w:t>
            </w:r>
          </w:p>
        </w:tc>
        <w:tc>
          <w:tcPr>
            <w:tcW w:w="3600" w:type="dxa"/>
            <w:vAlign w:val="center"/>
          </w:tcPr>
          <w:p>
            <w:pPr>
              <w:spacing w:line="360" w:lineRule="exact"/>
              <w:jc w:val="center"/>
              <w:rPr>
                <w:rFonts w:ascii="仿宋" w:hAnsi="仿宋" w:eastAsia="仿宋"/>
                <w:sz w:val="28"/>
                <w:szCs w:val="24"/>
              </w:rPr>
            </w:pPr>
            <w:r>
              <w:rPr>
                <w:rFonts w:hint="eastAsia" w:ascii="仿宋" w:hAnsi="仿宋" w:eastAsia="仿宋"/>
                <w:sz w:val="28"/>
                <w:szCs w:val="28"/>
              </w:rPr>
              <w:t>中国银行深圳景田北支行</w:t>
            </w:r>
          </w:p>
        </w:tc>
        <w:tc>
          <w:tcPr>
            <w:tcW w:w="3690"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中国银行中银花园支行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787"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银行账号</w:t>
            </w:r>
          </w:p>
        </w:tc>
        <w:tc>
          <w:tcPr>
            <w:tcW w:w="3600" w:type="dxa"/>
            <w:vAlign w:val="center"/>
          </w:tcPr>
          <w:p>
            <w:pPr>
              <w:spacing w:line="360" w:lineRule="exact"/>
              <w:jc w:val="center"/>
              <w:rPr>
                <w:rFonts w:ascii="仿宋" w:hAnsi="仿宋" w:eastAsia="仿宋"/>
                <w:sz w:val="28"/>
                <w:szCs w:val="24"/>
              </w:rPr>
            </w:pPr>
            <w:r>
              <w:rPr>
                <w:rFonts w:hint="eastAsia" w:ascii="仿宋" w:hAnsi="仿宋" w:eastAsia="仿宋"/>
                <w:sz w:val="28"/>
                <w:szCs w:val="28"/>
              </w:rPr>
              <w:t>7</w:t>
            </w:r>
            <w:r>
              <w:rPr>
                <w:rFonts w:ascii="仿宋" w:hAnsi="仿宋" w:eastAsia="仿宋"/>
                <w:sz w:val="28"/>
                <w:szCs w:val="28"/>
              </w:rPr>
              <w:t>52360797516</w:t>
            </w:r>
          </w:p>
        </w:tc>
        <w:tc>
          <w:tcPr>
            <w:tcW w:w="3690"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765357955823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787"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单位地址</w:t>
            </w:r>
          </w:p>
        </w:tc>
        <w:tc>
          <w:tcPr>
            <w:tcW w:w="3600" w:type="dxa"/>
            <w:vAlign w:val="center"/>
          </w:tcPr>
          <w:p>
            <w:pPr>
              <w:spacing w:line="360" w:lineRule="exact"/>
              <w:jc w:val="center"/>
              <w:rPr>
                <w:rFonts w:ascii="仿宋" w:hAnsi="仿宋" w:eastAsia="仿宋"/>
                <w:sz w:val="28"/>
                <w:szCs w:val="24"/>
              </w:rPr>
            </w:pPr>
            <w:r>
              <w:rPr>
                <w:rFonts w:hint="eastAsia" w:ascii="仿宋" w:hAnsi="仿宋" w:eastAsia="仿宋"/>
                <w:sz w:val="28"/>
                <w:szCs w:val="28"/>
              </w:rPr>
              <w:t>深圳市罗湖区建设2022号中国银行大厦25楼</w:t>
            </w:r>
          </w:p>
        </w:tc>
        <w:tc>
          <w:tcPr>
            <w:tcW w:w="3690"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深圳市盐田区海山街道沙头角深盐路南保发大厦第五层</w:t>
            </w:r>
            <w:r>
              <w:rPr>
                <w:rFonts w:ascii="仿宋" w:hAnsi="仿宋" w:eastAsia="仿宋"/>
                <w:color w:val="000000"/>
                <w:sz w:val="28"/>
                <w:szCs w:val="24"/>
              </w:rPr>
              <w:t>H1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787"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电话</w:t>
            </w:r>
          </w:p>
        </w:tc>
        <w:tc>
          <w:tcPr>
            <w:tcW w:w="3600" w:type="dxa"/>
            <w:vAlign w:val="center"/>
          </w:tcPr>
          <w:p>
            <w:pPr>
              <w:spacing w:line="360" w:lineRule="exact"/>
              <w:jc w:val="center"/>
              <w:rPr>
                <w:rFonts w:ascii="仿宋" w:hAnsi="仿宋" w:eastAsia="仿宋"/>
                <w:sz w:val="28"/>
                <w:szCs w:val="24"/>
              </w:rPr>
            </w:pPr>
            <w:r>
              <w:rPr>
                <w:rFonts w:ascii="仿宋" w:hAnsi="仿宋" w:eastAsia="仿宋"/>
                <w:sz w:val="28"/>
                <w:szCs w:val="24"/>
              </w:rPr>
              <w:t>0755-22336804</w:t>
            </w:r>
          </w:p>
        </w:tc>
        <w:tc>
          <w:tcPr>
            <w:tcW w:w="3690" w:type="dxa"/>
            <w:vAlign w:val="center"/>
          </w:tcPr>
          <w:p>
            <w:pPr>
              <w:spacing w:line="360" w:lineRule="exact"/>
              <w:jc w:val="center"/>
              <w:rPr>
                <w:rFonts w:ascii="仿宋" w:hAnsi="仿宋" w:eastAsia="仿宋"/>
                <w:color w:val="000000"/>
                <w:sz w:val="28"/>
                <w:szCs w:val="24"/>
              </w:rPr>
            </w:pPr>
            <w:r>
              <w:rPr>
                <w:rFonts w:hint="eastAsia" w:ascii="仿宋" w:hAnsi="仿宋" w:eastAsia="仿宋"/>
                <w:color w:val="000000"/>
                <w:sz w:val="28"/>
                <w:szCs w:val="24"/>
              </w:rPr>
              <w:t>0755-83930267</w:t>
            </w:r>
          </w:p>
        </w:tc>
      </w:tr>
    </w:tbl>
    <w:p>
      <w:pPr>
        <w:pStyle w:val="4"/>
        <w:spacing w:line="480" w:lineRule="exact"/>
        <w:ind w:firstLine="562" w:firstLineChars="200"/>
        <w:jc w:val="both"/>
        <w:rPr>
          <w:rFonts w:hAnsi="宋体"/>
          <w:sz w:val="28"/>
          <w:szCs w:val="28"/>
        </w:rPr>
      </w:pPr>
      <w:r>
        <w:rPr>
          <w:rFonts w:hint="eastAsia" w:ascii="仿宋" w:hAnsi="仿宋" w:eastAsia="仿宋"/>
          <w:b/>
          <w:bCs/>
          <w:color w:val="000000"/>
          <w:sz w:val="28"/>
        </w:rPr>
        <w:t>六、维护保养零配件供应：</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(一)更换零部件时，常规配件乙方应在【24小时】内更换完毕，特殊情况经甲乙双方协商后确定解决办法。</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(二)乙方有偿提供的主要零部件（如摄像机、录像机、硬盘、主机轴承等）。</w:t>
      </w:r>
      <w:r>
        <w:rPr>
          <w:rFonts w:hint="eastAsia" w:ascii="仿宋" w:hAnsi="仿宋" w:eastAsia="仿宋"/>
          <w:color w:val="000000"/>
          <w:sz w:val="28"/>
        </w:rPr>
        <w:t>详细规格型号、价格见附件五。</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三)若由乙方提供本合同监控设备维护保养和维修所需的相关材料及零配件，乙方应出具零配件明细表及价格清单作为本合同附件，明确由乙方承担的零配件种类。本合同约定：乙方提供单件采购费用在【100.00】元以下（含本数）的材料及零配件；单件采购费用在【100.00】元以上的材料及零配件由甲方承担，甲方可自行采购或委托乙方代为采购。</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四)乙方代为采购零配件的，应提供所需维修、更换零配件的书面报价，告知甲方零配件的型号、规格、数量、单价以及保修期限，经甲方审核同意后，乙方按要求进行更换。乙方必须向甲方提供零配件合格证、型式试验报告，零配件更换完毕并经甲方验收合格之日起，乙方承诺提供不低于一年的质保期。</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五)甲方在验收合格并收到乙方出具的合法、有效的发票后，向乙方支付材料及零配件费用。乙方承诺提供的材料及零配件均符合国家质量标准，如因乙方提供的零配件不合格或因乙方操作不当导致零配件损坏造成甲方损失的，应由乙方承担全部的赔偿责任。</w:t>
      </w:r>
    </w:p>
    <w:p>
      <w:pPr>
        <w:pStyle w:val="4"/>
        <w:spacing w:line="480" w:lineRule="exact"/>
        <w:ind w:firstLine="562" w:firstLineChars="200"/>
        <w:jc w:val="both"/>
        <w:rPr>
          <w:rFonts w:ascii="仿宋" w:hAnsi="仿宋" w:eastAsia="仿宋"/>
          <w:color w:val="000000"/>
          <w:sz w:val="28"/>
        </w:rPr>
      </w:pPr>
      <w:r>
        <w:rPr>
          <w:rFonts w:hint="eastAsia" w:ascii="仿宋" w:hAnsi="仿宋" w:eastAsia="仿宋"/>
          <w:b/>
          <w:bCs/>
          <w:color w:val="000000"/>
          <w:sz w:val="28"/>
        </w:rPr>
        <w:t>七、甲方责任：</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1.出现故障时及时通知乙方, 以免扩大故障范围；</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2.做好维修前的准备工作, 并向乙方维修人员提供工作之便；</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3.按合同第五条付款方式及时支付维护保养费用。</w:t>
      </w:r>
    </w:p>
    <w:p>
      <w:pPr>
        <w:pStyle w:val="4"/>
        <w:spacing w:line="480" w:lineRule="exact"/>
        <w:ind w:firstLine="562" w:firstLineChars="200"/>
        <w:jc w:val="both"/>
        <w:rPr>
          <w:rFonts w:ascii="仿宋" w:hAnsi="仿宋" w:eastAsia="仿宋"/>
          <w:color w:val="000000"/>
          <w:sz w:val="28"/>
        </w:rPr>
      </w:pPr>
      <w:r>
        <w:rPr>
          <w:rFonts w:hint="eastAsia" w:ascii="仿宋" w:hAnsi="仿宋" w:eastAsia="仿宋"/>
          <w:b/>
          <w:bCs/>
          <w:color w:val="000000"/>
          <w:sz w:val="28"/>
        </w:rPr>
        <w:t>八、乙方责任：</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1.对甲方委托工程每月进行一次维护保养；</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2.对于平时出现的故障即时响应, 并马上组织技术人员进行维修, 最迟不超过24小时；</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3.认真听取甲方人员陈述故障现象、出现故障时间及当时环境因素的影响等, 根据故障现象分析归纳, 然后才着手进行维修或保养；</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4.在维修过程中，零配件市场单价在100.00元以下的，由乙方自行解决；</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5.若无法在现场处理好系统故障，则提供备用设备，并尽快恢复系统的正常运行；</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6.每次维护保养完毕需要向甲方提交相关记录；</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7.乙方应当根据甲乙双方的约定选聘适合的工作人员承担服务工作，并保证服务事项如期开展；</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8.乙方应教育乙方工作人员遵守甲方的业务流程、操作规范、监督机制和风险控制机制；</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9.乙方须严格执行安全操作规程，并做好各种安全防范措施，若因乙方违反法律、法规及行业规范要求，违反甲方管理规定，违规作业或作业不当，造成人员伤亡及财产损失的，由乙方承担一切责任，甲方不负任何连带责任；</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10.由于乙方服务不当等原因，引起业主或客户有效投诉，导致业主方扣减甲方服务费或绩效酬金或专项奖励金，甲方有权相应扣减乙方服务费用。</w:t>
      </w:r>
    </w:p>
    <w:p>
      <w:pPr>
        <w:pStyle w:val="4"/>
        <w:spacing w:line="480" w:lineRule="exact"/>
        <w:ind w:firstLine="562" w:firstLineChars="200"/>
        <w:jc w:val="both"/>
        <w:rPr>
          <w:rFonts w:ascii="仿宋" w:hAnsi="仿宋" w:eastAsia="仿宋"/>
          <w:b/>
          <w:bCs/>
          <w:color w:val="000000"/>
          <w:sz w:val="28"/>
        </w:rPr>
      </w:pPr>
      <w:r>
        <w:rPr>
          <w:rFonts w:hint="eastAsia" w:ascii="仿宋" w:hAnsi="仿宋" w:eastAsia="仿宋"/>
          <w:b/>
          <w:bCs/>
          <w:color w:val="000000"/>
          <w:sz w:val="28"/>
        </w:rPr>
        <w:t>九、保密</w:t>
      </w:r>
      <w:r>
        <w:rPr>
          <w:rFonts w:ascii="仿宋" w:hAnsi="仿宋" w:eastAsia="仿宋"/>
          <w:b/>
          <w:bCs/>
          <w:color w:val="000000"/>
          <w:sz w:val="28"/>
        </w:rPr>
        <w:t>条款</w:t>
      </w:r>
      <w:r>
        <w:rPr>
          <w:rFonts w:hint="eastAsia" w:ascii="仿宋" w:hAnsi="仿宋" w:eastAsia="仿宋"/>
          <w:b/>
          <w:bCs/>
          <w:color w:val="000000"/>
          <w:sz w:val="28"/>
        </w:rPr>
        <w:t>：</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1.在本合同履行期间及履行完毕的任何时候，未经对方同意，任何一方不得以任何形式向第三方泄露本合同及附件内容，以确保双方的商业机密，但法律法规另有规定或监管部门另有要求的除外。</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2.在本合同履行期间及履行完毕的任何时候，一方对于因实施本合同项下服务从对方获取或知悉的保密信息，应承担严格的保密责任，未经对方书面同意不得向任何第三方透露，否则，该方应赔偿由此给对方造成的全部损失，且对方有权随时终止本合同，但法律法规另有规定或监管部门另有要求的除外。保密信息指任何一方因履行本合同所知悉的任何以口头、书面、图表或电子形式存在的对方信息，无论该信息是否享有知识产权，包括但不限于：</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（1）任何涉及对方过去、现在或将来的商业计划、规章制度、操作规程、处理手段、财务信息；</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（2）任何对方的技术措施、技术方案、软件应用及开发，硬件设备的品种、质量、数量、品牌等；</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（3）任何对方的技术秘密或专有知识、文件、报告、数据、客户软件、流程图、数据库、发明、知识、及贸易秘密。</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（4）甲方及其员工信息和客户信息。</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本保密责任永久有效，不因本合同的失效而失效。如需要，乙方应根据甲方的要求签署保密协议，保密协议与本条款存在不一致的，以保密协议为准。</w:t>
      </w:r>
    </w:p>
    <w:p>
      <w:pPr>
        <w:pStyle w:val="4"/>
        <w:spacing w:line="480" w:lineRule="exact"/>
        <w:ind w:firstLine="562" w:firstLineChars="200"/>
        <w:jc w:val="both"/>
        <w:rPr>
          <w:rFonts w:ascii="仿宋" w:hAnsi="仿宋" w:eastAsia="仿宋"/>
          <w:color w:val="000000"/>
          <w:sz w:val="28"/>
        </w:rPr>
      </w:pPr>
      <w:r>
        <w:rPr>
          <w:rFonts w:hint="eastAsia" w:ascii="仿宋" w:hAnsi="仿宋" w:eastAsia="仿宋"/>
          <w:b/>
          <w:bCs/>
          <w:color w:val="000000"/>
          <w:sz w:val="28"/>
        </w:rPr>
        <w:t>十</w:t>
      </w:r>
      <w:r>
        <w:rPr>
          <w:rFonts w:ascii="仿宋" w:hAnsi="仿宋" w:eastAsia="仿宋"/>
          <w:b/>
          <w:bCs/>
          <w:color w:val="000000"/>
          <w:sz w:val="28"/>
        </w:rPr>
        <w:t>、</w:t>
      </w:r>
      <w:r>
        <w:rPr>
          <w:rFonts w:hint="eastAsia" w:ascii="仿宋" w:hAnsi="仿宋" w:eastAsia="仿宋"/>
          <w:b/>
          <w:bCs/>
          <w:color w:val="000000"/>
          <w:sz w:val="28"/>
        </w:rPr>
        <w:t>其它：</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1.本合同如有未尽事宜及履行协议过程中发生争议，双方应本着友好态度协商解决，若经协商仍不能解决，双方均可向深圳国际仲裁院（深圳仲裁委员会）申请仲裁，并按照仲裁结果履行。</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2.本合同一式肆份, 自双方法定代表人或有权人签字并加盖公章后生效, 甲乙双方各执贰份, 具有同等法律效力。</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3.本合同期满后, 由双方协商续约。</w:t>
      </w:r>
    </w:p>
    <w:p>
      <w:pPr>
        <w:pStyle w:val="4"/>
        <w:adjustRightInd/>
        <w:spacing w:line="480" w:lineRule="exact"/>
        <w:ind w:firstLine="560" w:firstLineChars="200"/>
        <w:jc w:val="both"/>
        <w:textAlignment w:val="auto"/>
        <w:rPr>
          <w:rFonts w:ascii="仿宋" w:hAnsi="仿宋" w:eastAsia="仿宋"/>
          <w:color w:val="000000"/>
          <w:kern w:val="2"/>
          <w:sz w:val="28"/>
        </w:rPr>
      </w:pPr>
      <w:r>
        <w:rPr>
          <w:rFonts w:hint="eastAsia" w:ascii="仿宋" w:hAnsi="仿宋" w:eastAsia="仿宋"/>
          <w:color w:val="000000"/>
          <w:kern w:val="2"/>
          <w:sz w:val="28"/>
        </w:rPr>
        <w:t>4.附件一《外包单位防火安全责任书》、附件二《外包单位安全生产责任书》、附件三《供应商履约情况评价表》、</w:t>
      </w:r>
      <w:r>
        <w:rPr>
          <w:rFonts w:hint="eastAsia" w:ascii="仿宋" w:hAnsi="仿宋" w:eastAsia="仿宋" w:cs="仿宋"/>
          <w:sz w:val="28"/>
          <w:szCs w:val="28"/>
        </w:rPr>
        <w:t>附件四《合规及廉洁交易承诺函》、附件五《新中深圳分公司监控维修配件报价表（二次议价）》</w:t>
      </w:r>
      <w:r>
        <w:rPr>
          <w:rFonts w:hint="eastAsia" w:ascii="仿宋" w:hAnsi="仿宋" w:eastAsia="仿宋"/>
          <w:color w:val="000000"/>
          <w:kern w:val="2"/>
          <w:sz w:val="28"/>
        </w:rPr>
        <w:t>作为合同的重要组成部分，与合同具有同等法律效力。</w:t>
      </w:r>
    </w:p>
    <w:p>
      <w:pPr>
        <w:pStyle w:val="4"/>
        <w:spacing w:line="480" w:lineRule="exact"/>
        <w:jc w:val="both"/>
        <w:rPr>
          <w:rFonts w:ascii="仿宋" w:hAnsi="仿宋" w:eastAsia="仿宋"/>
          <w:b/>
          <w:bCs/>
          <w:color w:val="000000"/>
          <w:sz w:val="28"/>
        </w:rPr>
      </w:pPr>
      <w:r>
        <w:rPr>
          <w:rFonts w:hint="eastAsia" w:ascii="仿宋" w:hAnsi="仿宋" w:eastAsia="仿宋"/>
          <w:color w:val="000000"/>
          <w:sz w:val="28"/>
        </w:rPr>
        <w:t xml:space="preserve">   </w:t>
      </w:r>
      <w:r>
        <w:rPr>
          <w:rFonts w:hint="eastAsia" w:ascii="仿宋" w:hAnsi="仿宋" w:eastAsia="仿宋"/>
          <w:b/>
          <w:bCs/>
          <w:color w:val="000000"/>
          <w:sz w:val="28"/>
        </w:rPr>
        <w:t>（以下无正文，转合同签署页）</w:t>
      </w:r>
    </w:p>
    <w:p>
      <w:pPr>
        <w:pStyle w:val="4"/>
        <w:spacing w:line="480" w:lineRule="exact"/>
        <w:ind w:firstLine="562" w:firstLineChars="200"/>
        <w:jc w:val="both"/>
        <w:rPr>
          <w:rFonts w:ascii="仿宋" w:hAnsi="仿宋" w:eastAsia="仿宋"/>
          <w:b/>
          <w:bCs/>
          <w:color w:val="000000"/>
          <w:sz w:val="28"/>
        </w:rPr>
      </w:pPr>
      <w:r>
        <w:rPr>
          <w:rFonts w:hint="eastAsia" w:ascii="仿宋" w:hAnsi="仿宋" w:eastAsia="仿宋"/>
          <w:b/>
          <w:bCs/>
          <w:color w:val="000000"/>
          <w:sz w:val="28"/>
        </w:rPr>
        <w:t>（合同签署页）</w:t>
      </w:r>
    </w:p>
    <w:p>
      <w:pPr>
        <w:pStyle w:val="4"/>
        <w:spacing w:line="480" w:lineRule="exact"/>
        <w:ind w:firstLine="562" w:firstLineChars="200"/>
        <w:jc w:val="both"/>
        <w:rPr>
          <w:rFonts w:ascii="仿宋" w:hAnsi="仿宋" w:eastAsia="仿宋"/>
          <w:b/>
          <w:bCs/>
          <w:color w:val="000000"/>
          <w:sz w:val="28"/>
        </w:rPr>
      </w:pPr>
    </w:p>
    <w:p>
      <w:pPr>
        <w:pStyle w:val="4"/>
        <w:spacing w:line="480" w:lineRule="exact"/>
        <w:ind w:firstLine="562" w:firstLineChars="200"/>
        <w:jc w:val="both"/>
        <w:rPr>
          <w:rFonts w:ascii="仿宋" w:hAnsi="仿宋" w:eastAsia="仿宋"/>
          <w:b/>
          <w:bCs/>
          <w:color w:val="000000"/>
          <w:sz w:val="28"/>
        </w:rPr>
      </w:pPr>
    </w:p>
    <w:p>
      <w:pPr>
        <w:pStyle w:val="4"/>
        <w:spacing w:line="480" w:lineRule="exact"/>
        <w:ind w:firstLine="562" w:firstLineChars="200"/>
        <w:jc w:val="both"/>
        <w:rPr>
          <w:rFonts w:ascii="仿宋" w:hAnsi="仿宋" w:eastAsia="仿宋"/>
          <w:b/>
          <w:bCs/>
          <w:color w:val="000000"/>
          <w:sz w:val="28"/>
        </w:rPr>
      </w:pPr>
    </w:p>
    <w:p>
      <w:pPr>
        <w:pStyle w:val="4"/>
        <w:spacing w:line="480" w:lineRule="exact"/>
        <w:jc w:val="both"/>
        <w:rPr>
          <w:rFonts w:ascii="仿宋" w:hAnsi="仿宋" w:eastAsia="仿宋"/>
          <w:color w:val="000000"/>
          <w:sz w:val="28"/>
        </w:rPr>
      </w:pPr>
      <w:r>
        <w:rPr>
          <w:rFonts w:hint="eastAsia" w:ascii="仿宋" w:hAnsi="仿宋" w:eastAsia="仿宋"/>
          <w:color w:val="000000"/>
          <w:sz w:val="28"/>
        </w:rPr>
        <w:t xml:space="preserve">甲方：新中物业管理（中国）有限公司深圳分公司（盖章） </w:t>
      </w:r>
    </w:p>
    <w:p>
      <w:pPr>
        <w:pStyle w:val="4"/>
        <w:spacing w:line="480" w:lineRule="exact"/>
        <w:jc w:val="both"/>
        <w:rPr>
          <w:rFonts w:ascii="仿宋" w:hAnsi="仿宋" w:eastAsia="仿宋"/>
          <w:color w:val="000000"/>
          <w:sz w:val="28"/>
        </w:rPr>
      </w:pPr>
      <w:r>
        <w:rPr>
          <w:rFonts w:hint="eastAsia" w:ascii="仿宋" w:hAnsi="仿宋" w:eastAsia="仿宋"/>
          <w:color w:val="000000"/>
          <w:sz w:val="28"/>
        </w:rPr>
        <w:t>法定</w:t>
      </w:r>
      <w:r>
        <w:rPr>
          <w:rFonts w:ascii="仿宋" w:hAnsi="仿宋" w:eastAsia="仿宋"/>
          <w:color w:val="000000"/>
          <w:sz w:val="28"/>
        </w:rPr>
        <w:t>代表人</w:t>
      </w:r>
      <w:r>
        <w:rPr>
          <w:rFonts w:hint="eastAsia" w:ascii="仿宋" w:hAnsi="仿宋" w:eastAsia="仿宋"/>
          <w:color w:val="000000"/>
          <w:sz w:val="28"/>
        </w:rPr>
        <w:t xml:space="preserve">/负责人（签字）:                         </w:t>
      </w:r>
    </w:p>
    <w:p>
      <w:pPr>
        <w:pStyle w:val="4"/>
        <w:spacing w:line="480" w:lineRule="exact"/>
        <w:jc w:val="both"/>
        <w:rPr>
          <w:rFonts w:ascii="仿宋" w:hAnsi="仿宋" w:eastAsia="仿宋"/>
          <w:color w:val="000000"/>
          <w:sz w:val="28"/>
        </w:rPr>
      </w:pPr>
    </w:p>
    <w:p>
      <w:pPr>
        <w:spacing w:line="480" w:lineRule="exact"/>
        <w:jc w:val="both"/>
        <w:rPr>
          <w:rFonts w:ascii="仿宋" w:hAnsi="仿宋" w:eastAsia="仿宋"/>
          <w:color w:val="000000"/>
          <w:sz w:val="28"/>
        </w:rPr>
      </w:pPr>
    </w:p>
    <w:p>
      <w:pPr>
        <w:spacing w:line="480" w:lineRule="exact"/>
        <w:jc w:val="both"/>
        <w:rPr>
          <w:rFonts w:ascii="仿宋" w:hAnsi="仿宋" w:eastAsia="仿宋"/>
          <w:color w:val="000000"/>
          <w:sz w:val="28"/>
        </w:rPr>
      </w:pPr>
    </w:p>
    <w:p>
      <w:pPr>
        <w:spacing w:line="480" w:lineRule="exact"/>
        <w:jc w:val="both"/>
        <w:rPr>
          <w:rFonts w:ascii="仿宋" w:hAnsi="仿宋" w:eastAsia="仿宋"/>
          <w:color w:val="000000"/>
          <w:sz w:val="28"/>
        </w:rPr>
      </w:pPr>
    </w:p>
    <w:p>
      <w:pPr>
        <w:spacing w:line="480" w:lineRule="exact"/>
        <w:jc w:val="both"/>
        <w:rPr>
          <w:rFonts w:ascii="仿宋" w:hAnsi="仿宋" w:eastAsia="仿宋"/>
          <w:color w:val="000000"/>
          <w:sz w:val="28"/>
        </w:rPr>
      </w:pPr>
    </w:p>
    <w:p>
      <w:pPr>
        <w:spacing w:line="480" w:lineRule="exact"/>
        <w:jc w:val="both"/>
        <w:rPr>
          <w:rFonts w:ascii="仿宋" w:hAnsi="仿宋" w:eastAsia="仿宋"/>
          <w:color w:val="000000"/>
          <w:sz w:val="28"/>
        </w:rPr>
      </w:pPr>
      <w:r>
        <w:rPr>
          <w:rFonts w:hint="eastAsia" w:ascii="仿宋" w:hAnsi="仿宋" w:eastAsia="仿宋"/>
          <w:color w:val="000000"/>
          <w:sz w:val="28"/>
        </w:rPr>
        <w:t>乙方：深圳昌恩智能股份有限公司（盖章）</w:t>
      </w:r>
    </w:p>
    <w:p>
      <w:pPr>
        <w:spacing w:line="480" w:lineRule="exact"/>
        <w:jc w:val="both"/>
        <w:rPr>
          <w:rFonts w:ascii="仿宋" w:hAnsi="仿宋" w:eastAsia="仿宋"/>
          <w:color w:val="000000"/>
          <w:sz w:val="28"/>
        </w:rPr>
      </w:pPr>
      <w:r>
        <w:rPr>
          <w:rFonts w:hint="eastAsia" w:ascii="仿宋" w:hAnsi="仿宋" w:eastAsia="仿宋"/>
          <w:color w:val="000000"/>
          <w:sz w:val="28"/>
        </w:rPr>
        <w:t>法定</w:t>
      </w:r>
      <w:r>
        <w:rPr>
          <w:rFonts w:ascii="仿宋" w:hAnsi="仿宋" w:eastAsia="仿宋"/>
          <w:color w:val="000000"/>
          <w:sz w:val="28"/>
        </w:rPr>
        <w:t>代表人</w:t>
      </w:r>
      <w:r>
        <w:rPr>
          <w:rFonts w:hint="eastAsia" w:ascii="仿宋" w:hAnsi="仿宋" w:eastAsia="仿宋"/>
          <w:color w:val="000000"/>
          <w:sz w:val="28"/>
        </w:rPr>
        <w:t xml:space="preserve">/负责人（签字）:  </w:t>
      </w:r>
    </w:p>
    <w:p>
      <w:pPr>
        <w:spacing w:line="480" w:lineRule="exact"/>
        <w:jc w:val="both"/>
        <w:rPr>
          <w:rFonts w:ascii="仿宋" w:hAnsi="仿宋" w:eastAsia="仿宋"/>
          <w:color w:val="000000"/>
          <w:sz w:val="28"/>
        </w:rPr>
      </w:pPr>
    </w:p>
    <w:p>
      <w:pPr>
        <w:spacing w:line="480" w:lineRule="exact"/>
        <w:jc w:val="both"/>
        <w:rPr>
          <w:rFonts w:ascii="仿宋" w:hAnsi="仿宋" w:eastAsia="仿宋"/>
          <w:color w:val="000000"/>
          <w:sz w:val="28"/>
        </w:rPr>
      </w:pPr>
    </w:p>
    <w:p>
      <w:pPr>
        <w:spacing w:line="480" w:lineRule="exact"/>
        <w:jc w:val="both"/>
        <w:rPr>
          <w:rFonts w:ascii="仿宋" w:hAnsi="仿宋" w:eastAsia="仿宋"/>
          <w:color w:val="000000"/>
          <w:kern w:val="2"/>
          <w:sz w:val="28"/>
        </w:rPr>
      </w:pPr>
    </w:p>
    <w:p>
      <w:pPr>
        <w:spacing w:line="480" w:lineRule="exact"/>
        <w:ind w:firstLine="6720" w:firstLineChars="2400"/>
        <w:jc w:val="both"/>
        <w:rPr>
          <w:b/>
          <w:color w:val="000000"/>
          <w:sz w:val="56"/>
          <w:szCs w:val="56"/>
        </w:rPr>
        <w:sectPr>
          <w:headerReference r:id="rId6" w:type="first"/>
          <w:headerReference r:id="rId5" w:type="default"/>
          <w:footerReference r:id="rId7" w:type="default"/>
          <w:pgSz w:w="11906" w:h="16838"/>
          <w:pgMar w:top="1091" w:right="1531" w:bottom="779" w:left="1474" w:header="851" w:footer="567" w:gutter="0"/>
          <w:pgNumType w:start="1"/>
          <w:cols w:space="720" w:num="1"/>
          <w:docGrid w:type="lines" w:linePitch="312" w:charSpace="0"/>
        </w:sectPr>
      </w:pPr>
      <w:r>
        <w:rPr>
          <w:rFonts w:hint="eastAsia" w:ascii="仿宋" w:hAnsi="仿宋" w:eastAsia="仿宋"/>
          <w:color w:val="000000"/>
          <w:kern w:val="2"/>
          <w:sz w:val="28"/>
        </w:rPr>
        <w:t>年   月   日</w:t>
      </w:r>
    </w:p>
    <w:p>
      <w:pPr>
        <w:spacing w:after="240" w:afterLines="100" w:line="480" w:lineRule="exact"/>
        <w:jc w:val="both"/>
        <w:rPr>
          <w:rFonts w:ascii="仿宋" w:hAnsi="仿宋" w:eastAsia="仿宋"/>
          <w:b/>
          <w:color w:val="000000"/>
          <w:sz w:val="32"/>
          <w:szCs w:val="32"/>
        </w:rPr>
      </w:pPr>
      <w:r>
        <w:rPr>
          <w:rFonts w:hint="eastAsia" w:ascii="仿宋" w:hAnsi="仿宋" w:eastAsia="仿宋"/>
          <w:b/>
          <w:color w:val="000000"/>
          <w:sz w:val="28"/>
          <w:szCs w:val="28"/>
        </w:rPr>
        <w:t>附件一：</w:t>
      </w:r>
      <w:r>
        <w:rPr>
          <w:rFonts w:hint="eastAsia" w:ascii="仿宋" w:hAnsi="仿宋" w:eastAsia="仿宋"/>
          <w:b/>
          <w:color w:val="000000"/>
          <w:sz w:val="32"/>
          <w:szCs w:val="32"/>
        </w:rPr>
        <w:t xml:space="preserve">          外包单位防火安全责任书</w:t>
      </w:r>
    </w:p>
    <w:p>
      <w:pPr>
        <w:spacing w:line="480" w:lineRule="exact"/>
        <w:rPr>
          <w:rFonts w:ascii="仿宋" w:hAnsi="仿宋" w:eastAsia="仿宋"/>
          <w:color w:val="000000"/>
          <w:sz w:val="28"/>
          <w:szCs w:val="28"/>
        </w:rPr>
      </w:pPr>
      <w:r>
        <w:rPr>
          <w:rFonts w:hint="eastAsia" w:ascii="仿宋" w:hAnsi="仿宋" w:eastAsia="仿宋"/>
          <w:color w:val="000000"/>
          <w:sz w:val="28"/>
          <w:szCs w:val="28"/>
        </w:rPr>
        <w:t>甲方：新中物业管理（中国）有限公司深圳分公司</w:t>
      </w:r>
    </w:p>
    <w:p>
      <w:pPr>
        <w:spacing w:line="480" w:lineRule="exact"/>
        <w:rPr>
          <w:rFonts w:ascii="仿宋" w:hAnsi="仿宋" w:eastAsia="仿宋"/>
          <w:color w:val="000000"/>
          <w:sz w:val="28"/>
          <w:szCs w:val="28"/>
        </w:rPr>
      </w:pPr>
      <w:r>
        <w:rPr>
          <w:rFonts w:hint="eastAsia" w:ascii="仿宋" w:hAnsi="仿宋" w:eastAsia="仿宋"/>
          <w:color w:val="000000"/>
          <w:sz w:val="28"/>
          <w:szCs w:val="28"/>
        </w:rPr>
        <w:t>乙方：</w:t>
      </w:r>
      <w:r>
        <w:rPr>
          <w:rFonts w:hint="eastAsia" w:ascii="仿宋" w:hAnsi="仿宋" w:eastAsia="仿宋"/>
          <w:color w:val="000000"/>
          <w:sz w:val="28"/>
        </w:rPr>
        <w:t>深圳昌恩智能股份有限公司</w:t>
      </w:r>
    </w:p>
    <w:p>
      <w:pPr>
        <w:spacing w:before="240" w:beforeLines="100"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根据《中华人民共和国消防法》、《深圳经济特区消防条例》等相关法律、法规、条例，本着“预防为主，防消结合”的工作方针，结合各服务点的具体情况，特制定外包单位防火安全责任书。</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一、乙方进驻服务点必须设有专职或兼职的防火责任人，并将防火工作方案（包括防火安全措施、火灾应急预案）报甲方审核备案，以确保服务点防火工作的顺利进行。</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二、乙方进入服务点前，应由乙方防火负责人对本单位所有员工进行防火安全教育。</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三、禁止在服务点内非吸烟区吸烟。</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四、须在服务点内动用明火，应由乙方人员提前向甲方申请，到甲方办理动火证后方可动火。乙方负责人要加强动火人员的管理，落实安全措施。</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五、服务点内所有区域不得使用（电炉、电熨斗、电褥子、电饭锅、微波炉等）电热设备，特殊情况须向甲方申请，经核对用电负荷后，办理相关手续，并制定出电器使用管理规定，并派专人落实，方可使用。</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六、乙方员工应自觉遵守大厦内和本岗位的安全防火制度，发现火险隐患及时处理，并向甲方综合服务部（或管理处）报告。</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七、乙方员工应认真学习消防基本知识，掌握三懂三会（懂火灾危害性、会报警，懂火灾的扑救方法、会使用灭火器，懂预防火灾的措施、会扑救初起火灾和逃生自救）。</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八、乙方对本单位所在区域定期进行消防安全检查，对发现的问题及时整改。</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九、乙方严禁在服务点内存放易燃易爆品，如确需使用，仅限当日用量，并有专人看护。</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十、乙方在服务点所用库房，须向甲方申报，并派专人负责库房的防火安全，制定并落实库房防火安全规定。</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十一、服务点安装配置的各类消防设施、设备必须保持完好、灵敏、有效的状态，乙方任何人不得无故拆损、破坏、挪作他用。</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十二、服务点内各疏散通道必须保持畅通，任何单位及人员不得占用和堵塞。</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十三、乙方对配给范围内的消防设备有责任配合甲方进行维护，发现问题及时汇报。</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四、如乙方违反防火安全规定并造成后果（包括人员伤亡、财产损失等），乙方将承担一切责任。乙方未尽本责任书约定义务经甲方提出拒不改正或者乙方未尽本责任书约定义务给甲方或者第三人造成较大损失的，甲方有权解除《中审</w:t>
      </w:r>
      <w:r>
        <w:rPr>
          <w:rFonts w:hint="eastAsia" w:ascii="仿宋" w:hAnsi="仿宋" w:eastAsia="仿宋"/>
          <w:color w:val="000000"/>
          <w:sz w:val="28"/>
        </w:rPr>
        <w:t>大厦高清视频监控系统维护保养</w:t>
      </w:r>
      <w:r>
        <w:rPr>
          <w:rFonts w:hint="eastAsia" w:ascii="仿宋" w:hAnsi="仿宋" w:eastAsia="仿宋"/>
          <w:color w:val="000000"/>
          <w:sz w:val="28"/>
          <w:szCs w:val="28"/>
        </w:rPr>
        <w:t>合同》，并依约要求乙方承担违约责任。</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十五、本责任书中的“服务点”是指甲方与乙方签订的《中审</w:t>
      </w:r>
      <w:r>
        <w:rPr>
          <w:rFonts w:hint="eastAsia" w:ascii="仿宋" w:hAnsi="仿宋" w:eastAsia="仿宋"/>
          <w:color w:val="000000"/>
          <w:sz w:val="28"/>
        </w:rPr>
        <w:t>大厦高清视频监控系统维护保养</w:t>
      </w:r>
      <w:r>
        <w:rPr>
          <w:rFonts w:hint="eastAsia" w:ascii="仿宋" w:hAnsi="仿宋" w:eastAsia="仿宋"/>
          <w:color w:val="000000"/>
          <w:sz w:val="28"/>
          <w:szCs w:val="28"/>
        </w:rPr>
        <w:t>合同》约定的服务地点。</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十六、本责任书作为甲方与乙方签订的《中审</w:t>
      </w:r>
      <w:r>
        <w:rPr>
          <w:rFonts w:hint="eastAsia" w:ascii="仿宋" w:hAnsi="仿宋" w:eastAsia="仿宋"/>
          <w:color w:val="000000"/>
          <w:sz w:val="28"/>
        </w:rPr>
        <w:t>大厦高清视频监控系统维护保养</w:t>
      </w:r>
      <w:r>
        <w:rPr>
          <w:rFonts w:hint="eastAsia" w:ascii="仿宋" w:hAnsi="仿宋" w:eastAsia="仿宋"/>
          <w:color w:val="000000"/>
          <w:sz w:val="28"/>
          <w:szCs w:val="28"/>
        </w:rPr>
        <w:t>合同》的附件，与主合同具有同等法律效力。本责任书的有效期与合同期保持一致。</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十七、本责任书一式四份，甲乙双方各持两份。</w:t>
      </w:r>
    </w:p>
    <w:p>
      <w:pPr>
        <w:spacing w:line="480" w:lineRule="exact"/>
        <w:jc w:val="both"/>
        <w:rPr>
          <w:rFonts w:ascii="仿宋" w:hAnsi="仿宋" w:eastAsia="仿宋"/>
          <w:color w:val="000000"/>
          <w:sz w:val="28"/>
          <w:szCs w:val="28"/>
        </w:rPr>
      </w:pPr>
    </w:p>
    <w:p>
      <w:pPr>
        <w:spacing w:line="480" w:lineRule="exact"/>
        <w:jc w:val="both"/>
        <w:rPr>
          <w:rFonts w:ascii="仿宋" w:hAnsi="仿宋" w:eastAsia="仿宋"/>
          <w:color w:val="000000"/>
          <w:sz w:val="28"/>
          <w:szCs w:val="28"/>
        </w:rPr>
      </w:pPr>
      <w:r>
        <w:rPr>
          <w:rFonts w:hint="eastAsia" w:ascii="仿宋" w:hAnsi="仿宋" w:eastAsia="仿宋"/>
          <w:color w:val="000000"/>
          <w:sz w:val="28"/>
          <w:szCs w:val="28"/>
        </w:rPr>
        <w:t>甲方：新中物业管理（中国）有限公司深圳分公司（盖章）</w:t>
      </w:r>
    </w:p>
    <w:p>
      <w:pPr>
        <w:spacing w:before="240" w:beforeLines="100" w:line="480" w:lineRule="exact"/>
        <w:jc w:val="both"/>
        <w:rPr>
          <w:rFonts w:ascii="仿宋" w:hAnsi="仿宋" w:eastAsia="仿宋"/>
          <w:color w:val="000000"/>
          <w:sz w:val="28"/>
          <w:szCs w:val="28"/>
        </w:rPr>
      </w:pPr>
      <w:r>
        <w:rPr>
          <w:rFonts w:hint="eastAsia" w:ascii="仿宋" w:hAnsi="仿宋" w:eastAsia="仿宋"/>
          <w:color w:val="000000"/>
          <w:sz w:val="28"/>
          <w:szCs w:val="28"/>
        </w:rPr>
        <w:t>法定代表人/负责人签字：</w:t>
      </w:r>
    </w:p>
    <w:p>
      <w:pPr>
        <w:spacing w:line="480" w:lineRule="exact"/>
        <w:jc w:val="both"/>
        <w:rPr>
          <w:rFonts w:ascii="仿宋" w:hAnsi="仿宋" w:eastAsia="仿宋"/>
          <w:color w:val="000000"/>
          <w:sz w:val="28"/>
          <w:szCs w:val="28"/>
        </w:rPr>
      </w:pPr>
    </w:p>
    <w:p>
      <w:pPr>
        <w:spacing w:line="480" w:lineRule="exact"/>
        <w:jc w:val="both"/>
        <w:rPr>
          <w:rFonts w:ascii="仿宋" w:hAnsi="仿宋" w:eastAsia="仿宋"/>
          <w:color w:val="000000"/>
          <w:sz w:val="28"/>
          <w:szCs w:val="28"/>
        </w:rPr>
      </w:pPr>
    </w:p>
    <w:p>
      <w:pPr>
        <w:spacing w:line="480" w:lineRule="exact"/>
        <w:jc w:val="both"/>
        <w:rPr>
          <w:rFonts w:ascii="仿宋" w:hAnsi="仿宋" w:eastAsia="仿宋"/>
          <w:color w:val="000000"/>
          <w:sz w:val="28"/>
          <w:szCs w:val="28"/>
        </w:rPr>
      </w:pPr>
    </w:p>
    <w:p>
      <w:pPr>
        <w:spacing w:line="480" w:lineRule="exact"/>
        <w:jc w:val="both"/>
        <w:rPr>
          <w:rFonts w:ascii="仿宋" w:hAnsi="仿宋" w:eastAsia="仿宋"/>
          <w:color w:val="000000"/>
          <w:sz w:val="28"/>
          <w:szCs w:val="28"/>
        </w:rPr>
      </w:pPr>
      <w:r>
        <w:rPr>
          <w:rFonts w:hint="eastAsia" w:ascii="仿宋" w:hAnsi="仿宋" w:eastAsia="仿宋"/>
          <w:color w:val="000000"/>
          <w:sz w:val="28"/>
          <w:szCs w:val="28"/>
        </w:rPr>
        <w:t>乙方：</w:t>
      </w:r>
      <w:r>
        <w:rPr>
          <w:rFonts w:hint="eastAsia" w:ascii="仿宋" w:hAnsi="仿宋" w:eastAsia="仿宋"/>
          <w:color w:val="000000"/>
          <w:sz w:val="28"/>
        </w:rPr>
        <w:t>深圳昌恩智能股份有限公司</w:t>
      </w:r>
      <w:r>
        <w:rPr>
          <w:rFonts w:hint="eastAsia" w:ascii="仿宋" w:hAnsi="仿宋" w:eastAsia="仿宋"/>
          <w:color w:val="000000"/>
          <w:sz w:val="28"/>
          <w:szCs w:val="28"/>
        </w:rPr>
        <w:t>（盖章）</w:t>
      </w:r>
    </w:p>
    <w:p>
      <w:pPr>
        <w:spacing w:before="240" w:beforeLines="100" w:line="480" w:lineRule="exact"/>
        <w:jc w:val="both"/>
        <w:rPr>
          <w:rFonts w:ascii="仿宋" w:hAnsi="仿宋" w:eastAsia="仿宋"/>
          <w:color w:val="000000"/>
          <w:sz w:val="28"/>
          <w:szCs w:val="28"/>
        </w:rPr>
      </w:pPr>
      <w:r>
        <w:rPr>
          <w:rFonts w:hint="eastAsia" w:ascii="仿宋" w:hAnsi="仿宋" w:eastAsia="仿宋"/>
          <w:color w:val="000000"/>
          <w:sz w:val="28"/>
          <w:szCs w:val="28"/>
        </w:rPr>
        <w:t>法定代表人/负责人签字：</w:t>
      </w:r>
    </w:p>
    <w:p>
      <w:pPr>
        <w:spacing w:before="240" w:beforeLines="100" w:line="480" w:lineRule="exact"/>
        <w:rPr>
          <w:rFonts w:ascii="仿宋" w:hAnsi="仿宋" w:eastAsia="仿宋"/>
          <w:b/>
          <w:color w:val="000000"/>
          <w:sz w:val="32"/>
          <w:szCs w:val="32"/>
        </w:rPr>
      </w:pPr>
      <w:r>
        <w:rPr>
          <w:rFonts w:hint="eastAsia" w:ascii="仿宋" w:hAnsi="仿宋" w:eastAsia="仿宋"/>
          <w:color w:val="000000"/>
          <w:sz w:val="28"/>
          <w:szCs w:val="28"/>
        </w:rPr>
        <w:t xml:space="preserve">                                </w:t>
      </w:r>
    </w:p>
    <w:p>
      <w:pPr>
        <w:spacing w:after="240" w:afterLines="100" w:line="480" w:lineRule="exact"/>
        <w:jc w:val="both"/>
        <w:rPr>
          <w:rFonts w:ascii="仿宋" w:hAnsi="仿宋" w:eastAsia="仿宋"/>
          <w:b/>
          <w:color w:val="000000"/>
          <w:sz w:val="32"/>
          <w:szCs w:val="32"/>
        </w:rPr>
      </w:pPr>
      <w:r>
        <w:rPr>
          <w:rFonts w:hint="eastAsia" w:ascii="仿宋" w:hAnsi="仿宋" w:eastAsia="仿宋"/>
          <w:b/>
          <w:color w:val="000000"/>
          <w:sz w:val="28"/>
          <w:szCs w:val="28"/>
        </w:rPr>
        <w:t>附件二</w:t>
      </w:r>
      <w:r>
        <w:rPr>
          <w:rFonts w:hint="eastAsia" w:ascii="仿宋" w:hAnsi="仿宋" w:eastAsia="仿宋"/>
          <w:b/>
          <w:color w:val="000000"/>
          <w:sz w:val="32"/>
          <w:szCs w:val="32"/>
        </w:rPr>
        <w:t>：          外包单位安全生产责任书</w:t>
      </w:r>
    </w:p>
    <w:p>
      <w:pPr>
        <w:spacing w:line="480" w:lineRule="exact"/>
        <w:rPr>
          <w:rFonts w:ascii="仿宋" w:hAnsi="仿宋" w:eastAsia="仿宋"/>
          <w:color w:val="000000"/>
          <w:sz w:val="28"/>
          <w:szCs w:val="28"/>
        </w:rPr>
      </w:pPr>
      <w:r>
        <w:rPr>
          <w:rFonts w:hint="eastAsia" w:ascii="仿宋" w:hAnsi="仿宋" w:eastAsia="仿宋"/>
          <w:color w:val="000000"/>
          <w:sz w:val="28"/>
          <w:szCs w:val="28"/>
        </w:rPr>
        <w:t>甲方：新中物业管理（中国）有限公司深圳分公司</w:t>
      </w:r>
    </w:p>
    <w:p>
      <w:pPr>
        <w:spacing w:line="480" w:lineRule="exact"/>
        <w:rPr>
          <w:rFonts w:ascii="仿宋" w:hAnsi="仿宋" w:eastAsia="仿宋"/>
          <w:color w:val="000000"/>
          <w:sz w:val="28"/>
          <w:szCs w:val="28"/>
        </w:rPr>
      </w:pPr>
      <w:r>
        <w:rPr>
          <w:rFonts w:hint="eastAsia" w:ascii="仿宋" w:hAnsi="仿宋" w:eastAsia="仿宋"/>
          <w:color w:val="000000"/>
          <w:sz w:val="28"/>
          <w:szCs w:val="28"/>
        </w:rPr>
        <w:t>乙方：</w:t>
      </w:r>
      <w:r>
        <w:rPr>
          <w:rFonts w:hint="eastAsia" w:ascii="仿宋" w:hAnsi="仿宋" w:eastAsia="仿宋"/>
          <w:color w:val="000000"/>
          <w:sz w:val="28"/>
        </w:rPr>
        <w:t>深圳昌恩智能股份有限公司</w:t>
      </w:r>
    </w:p>
    <w:p>
      <w:pPr>
        <w:spacing w:before="240" w:beforeLines="100"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为加强安全管理，有效防止安全生产事故，保障人员生命及财产安全，根据《中华人民共和国安全生产法》、《广东省安全生产条例》、</w:t>
      </w:r>
      <w:r>
        <w:rPr>
          <w:rFonts w:ascii="仿宋" w:hAnsi="仿宋" w:eastAsia="仿宋"/>
          <w:color w:val="000000"/>
          <w:sz w:val="28"/>
          <w:szCs w:val="28"/>
        </w:rPr>
        <w:t>《深圳市安全管理条例》、《深圳经济特区特种设备安全条例》</w:t>
      </w:r>
      <w:r>
        <w:rPr>
          <w:rFonts w:hint="eastAsia" w:ascii="仿宋" w:hAnsi="仿宋" w:eastAsia="仿宋"/>
          <w:color w:val="000000"/>
          <w:sz w:val="28"/>
          <w:szCs w:val="28"/>
        </w:rPr>
        <w:t>等相关法律、法规、方针、政策，坚持“安全第一，预防为主”的工作方针，结合各服务点的具体情况，特制定外包单位安全生产责任书。</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一、乙方应当认真贯彻执行国家、省、市有关安全生产的法律、法规、方针、政策，有计划、针对性的持续开展安全生产工作，确保安全生产。</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二、乙方法定代表人或法人委托人依法对各服务点的安全生产工作全面负责，同时是本责任的第一安全责任人。</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三、乙方必须配备专职或兼职安全生产管理人员，负责对各服务点的安全生产情况（现场安全操作情况、作业人员持证上岗情况、劳保用品的使用情况等）进行监督检查，并将安全生产管理人员的名单报甲方备案。乙方安全生产管理人员发现安全事故隐患或违章操作行为的，应当积极处理或立即制止，并及时准确向甲方报告。</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四、乙方应当建立健全安全生产管理体系，逐级建立安全生产责任制，明确各级和各岗位的安全生产职责，细化安全生产管理措施，强化对危险源的监控，制定有效的管理与应对措施。</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五、乙方应当建立安全生产培训教育制度，经常性对员工进行安全思想、技能教育，开展应急预案的培训、演练，并定期组织安全技能考核。培训资料须报我司备案，并建立图文档案。</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六、乙方应当组织员工全面落实安全技术操作规程与安全技术措施。乙方应当按照相关规定为作业人员配备必须的劳保用品，并指导、监督劳保用品的正确使用。</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七、乙方应招用身体健康、无所从事岗位禁忌症的作业人员，并依法为员工购买工伤保险或意外伤害保险。</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八、乙方作业人员必须遵守甲方的各项规章制度，特种设备操作人员必须持证上岗，严禁违章操作、违章指挥、违反劳动纪律。乙方作业人员必须遵守甲方及国家法律、法规规定的“动火作业规定”、“高空作业规定”等各项作业规定，做好日常的安全生产管理工作。</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九、甲方有权对乙方的各项违章行为进行指正及制止，乙方须按要求进行整改。</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如乙方违反国家、省、市的有关安全生产法律法规及安全生产规程及甲方的规章制度，并造成后果的（包括人员伤亡、财产损失等），乙方将承担一切责任。乙方未尽本责任书约定义务经甲方提出拒不改正或者乙方未尽本责任书约定义务给甲方或者第三人造成较大损失的，甲方有权解除《中审</w:t>
      </w:r>
      <w:r>
        <w:rPr>
          <w:rFonts w:hint="eastAsia" w:ascii="仿宋" w:hAnsi="仿宋" w:eastAsia="仿宋"/>
          <w:color w:val="000000"/>
          <w:sz w:val="28"/>
        </w:rPr>
        <w:t>大厦高清视频监控系统维护保养</w:t>
      </w:r>
      <w:r>
        <w:rPr>
          <w:rFonts w:hint="eastAsia" w:ascii="仿宋" w:hAnsi="仿宋" w:eastAsia="仿宋"/>
          <w:color w:val="000000"/>
          <w:sz w:val="28"/>
          <w:szCs w:val="28"/>
        </w:rPr>
        <w:t>合同》，并依约要求乙方承担违约责任。</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十一、本责任书中的“服务点”是指甲方与乙方签订的《中审</w:t>
      </w:r>
      <w:r>
        <w:rPr>
          <w:rFonts w:hint="eastAsia" w:ascii="仿宋" w:hAnsi="仿宋" w:eastAsia="仿宋"/>
          <w:color w:val="000000"/>
          <w:sz w:val="28"/>
        </w:rPr>
        <w:t>大厦高清视频监控系统维护保养</w:t>
      </w:r>
      <w:r>
        <w:rPr>
          <w:rFonts w:hint="eastAsia" w:ascii="仿宋" w:hAnsi="仿宋" w:eastAsia="仿宋"/>
          <w:color w:val="000000"/>
          <w:sz w:val="28"/>
          <w:szCs w:val="28"/>
        </w:rPr>
        <w:t>合同》中约定的服务地点。</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十二、本责任书作为甲方与乙方签订的《中审</w:t>
      </w:r>
      <w:r>
        <w:rPr>
          <w:rFonts w:hint="eastAsia" w:ascii="仿宋" w:hAnsi="仿宋" w:eastAsia="仿宋"/>
          <w:color w:val="000000"/>
          <w:sz w:val="28"/>
        </w:rPr>
        <w:t>大厦高清视频监控系统维护保养</w:t>
      </w:r>
      <w:r>
        <w:rPr>
          <w:rFonts w:hint="eastAsia" w:ascii="仿宋" w:hAnsi="仿宋" w:eastAsia="仿宋"/>
          <w:color w:val="000000"/>
          <w:sz w:val="28"/>
          <w:szCs w:val="28"/>
        </w:rPr>
        <w:t>合同》的附件，与主合同具有同等法律效力。本责任书的有效期与合同期保持一致。</w:t>
      </w:r>
    </w:p>
    <w:p>
      <w:pPr>
        <w:spacing w:line="480" w:lineRule="exact"/>
        <w:ind w:firstLine="560" w:firstLineChars="200"/>
        <w:jc w:val="both"/>
        <w:rPr>
          <w:rFonts w:ascii="仿宋" w:hAnsi="仿宋" w:eastAsia="仿宋"/>
          <w:color w:val="000000"/>
          <w:sz w:val="28"/>
          <w:szCs w:val="28"/>
        </w:rPr>
      </w:pPr>
      <w:r>
        <w:rPr>
          <w:rFonts w:hint="eastAsia" w:ascii="仿宋" w:hAnsi="仿宋" w:eastAsia="仿宋"/>
          <w:color w:val="000000"/>
          <w:sz w:val="28"/>
          <w:szCs w:val="28"/>
        </w:rPr>
        <w:t>十三、本责任书一式四份，甲乙双方各持两份。</w:t>
      </w:r>
    </w:p>
    <w:p>
      <w:pPr>
        <w:spacing w:line="480" w:lineRule="exact"/>
        <w:jc w:val="both"/>
        <w:rPr>
          <w:rFonts w:ascii="仿宋" w:hAnsi="仿宋" w:eastAsia="仿宋"/>
          <w:color w:val="000000"/>
          <w:sz w:val="28"/>
          <w:szCs w:val="28"/>
        </w:rPr>
      </w:pPr>
    </w:p>
    <w:p>
      <w:pPr>
        <w:spacing w:line="480" w:lineRule="exact"/>
        <w:jc w:val="both"/>
        <w:rPr>
          <w:rFonts w:ascii="仿宋" w:hAnsi="仿宋" w:eastAsia="仿宋"/>
          <w:color w:val="000000"/>
          <w:sz w:val="28"/>
          <w:szCs w:val="28"/>
        </w:rPr>
      </w:pPr>
      <w:r>
        <w:rPr>
          <w:rFonts w:hint="eastAsia" w:ascii="仿宋" w:hAnsi="仿宋" w:eastAsia="仿宋"/>
          <w:color w:val="000000"/>
          <w:sz w:val="28"/>
          <w:szCs w:val="28"/>
        </w:rPr>
        <w:t>甲方：新中物业管理（中国）有限公司深圳分公司（盖章）</w:t>
      </w:r>
    </w:p>
    <w:p>
      <w:pPr>
        <w:spacing w:before="120" w:beforeLines="50" w:after="120" w:afterLines="50" w:line="480" w:lineRule="exact"/>
        <w:jc w:val="both"/>
        <w:rPr>
          <w:rFonts w:ascii="仿宋" w:hAnsi="仿宋" w:eastAsia="仿宋"/>
          <w:color w:val="000000"/>
          <w:sz w:val="28"/>
          <w:szCs w:val="28"/>
        </w:rPr>
      </w:pPr>
      <w:r>
        <w:rPr>
          <w:rFonts w:hint="eastAsia" w:ascii="仿宋" w:hAnsi="仿宋" w:eastAsia="仿宋"/>
          <w:color w:val="000000"/>
          <w:sz w:val="28"/>
          <w:szCs w:val="28"/>
        </w:rPr>
        <w:t>法定代表人/负责人签字：</w:t>
      </w:r>
    </w:p>
    <w:p>
      <w:pPr>
        <w:spacing w:line="480" w:lineRule="exact"/>
        <w:jc w:val="both"/>
        <w:rPr>
          <w:rFonts w:ascii="仿宋" w:hAnsi="仿宋" w:eastAsia="仿宋"/>
          <w:color w:val="000000"/>
          <w:sz w:val="28"/>
          <w:szCs w:val="28"/>
        </w:rPr>
      </w:pPr>
    </w:p>
    <w:p>
      <w:pPr>
        <w:spacing w:line="480" w:lineRule="exact"/>
        <w:jc w:val="both"/>
        <w:rPr>
          <w:rFonts w:ascii="仿宋" w:hAnsi="仿宋" w:eastAsia="仿宋"/>
          <w:color w:val="000000"/>
          <w:sz w:val="28"/>
          <w:szCs w:val="28"/>
        </w:rPr>
      </w:pPr>
    </w:p>
    <w:p>
      <w:pPr>
        <w:spacing w:line="480" w:lineRule="exact"/>
        <w:jc w:val="both"/>
        <w:rPr>
          <w:rFonts w:ascii="仿宋" w:hAnsi="仿宋" w:eastAsia="仿宋"/>
          <w:color w:val="000000"/>
          <w:sz w:val="28"/>
          <w:szCs w:val="28"/>
        </w:rPr>
      </w:pPr>
      <w:r>
        <w:rPr>
          <w:rFonts w:hint="eastAsia" w:ascii="仿宋" w:hAnsi="仿宋" w:eastAsia="仿宋"/>
          <w:color w:val="000000"/>
          <w:sz w:val="28"/>
          <w:szCs w:val="28"/>
        </w:rPr>
        <w:t>乙方：</w:t>
      </w:r>
      <w:r>
        <w:rPr>
          <w:rFonts w:hint="eastAsia" w:ascii="仿宋" w:hAnsi="仿宋" w:eastAsia="仿宋"/>
          <w:color w:val="000000"/>
          <w:sz w:val="28"/>
        </w:rPr>
        <w:t>深圳昌恩智能股份有限公司</w:t>
      </w:r>
      <w:r>
        <w:rPr>
          <w:rFonts w:hint="eastAsia" w:ascii="仿宋" w:hAnsi="仿宋" w:eastAsia="仿宋"/>
          <w:color w:val="000000"/>
          <w:sz w:val="28"/>
          <w:szCs w:val="28"/>
        </w:rPr>
        <w:t>（盖章）</w:t>
      </w:r>
    </w:p>
    <w:p>
      <w:pPr>
        <w:spacing w:before="120" w:beforeLines="50" w:after="120" w:afterLines="50" w:line="480" w:lineRule="exact"/>
        <w:jc w:val="both"/>
        <w:rPr>
          <w:rFonts w:ascii="仿宋" w:hAnsi="仿宋" w:eastAsia="仿宋"/>
          <w:color w:val="000000"/>
          <w:sz w:val="28"/>
          <w:szCs w:val="28"/>
        </w:rPr>
      </w:pPr>
      <w:r>
        <w:rPr>
          <w:rFonts w:hint="eastAsia" w:ascii="仿宋" w:hAnsi="仿宋" w:eastAsia="仿宋"/>
          <w:color w:val="000000"/>
          <w:sz w:val="28"/>
          <w:szCs w:val="28"/>
        </w:rPr>
        <w:t>法定代表人/负责人签字：</w:t>
      </w:r>
    </w:p>
    <w:p>
      <w:pPr>
        <w:spacing w:before="156" w:after="156" w:line="480" w:lineRule="exact"/>
        <w:jc w:val="both"/>
        <w:rPr>
          <w:rFonts w:ascii="仿宋" w:hAnsi="仿宋" w:eastAsia="仿宋" w:cs="仿宋"/>
          <w:b/>
          <w:bCs/>
          <w:sz w:val="28"/>
          <w:szCs w:val="28"/>
        </w:rPr>
      </w:pPr>
    </w:p>
    <w:p>
      <w:pPr>
        <w:widowControl/>
        <w:adjustRightInd/>
        <w:spacing w:line="240" w:lineRule="auto"/>
        <w:textAlignment w:val="auto"/>
        <w:rPr>
          <w:rFonts w:ascii="仿宋" w:hAnsi="仿宋" w:eastAsia="仿宋" w:cs="仿宋"/>
          <w:b/>
          <w:bCs/>
          <w:sz w:val="28"/>
          <w:szCs w:val="28"/>
        </w:rPr>
      </w:pPr>
      <w:r>
        <w:rPr>
          <w:rFonts w:ascii="仿宋" w:hAnsi="仿宋" w:eastAsia="仿宋" w:cs="仿宋"/>
          <w:b/>
          <w:bCs/>
          <w:sz w:val="28"/>
          <w:szCs w:val="28"/>
        </w:rPr>
        <w:br w:type="page"/>
      </w:r>
    </w:p>
    <w:p>
      <w:pPr>
        <w:spacing w:before="156" w:after="156"/>
        <w:jc w:val="both"/>
        <w:rPr>
          <w:rFonts w:ascii="仿宋" w:hAnsi="仿宋" w:eastAsia="仿宋" w:cs="仿宋"/>
          <w:b/>
          <w:bCs/>
          <w:sz w:val="28"/>
          <w:szCs w:val="28"/>
        </w:rPr>
      </w:pPr>
      <w:r>
        <w:rPr>
          <w:rFonts w:hint="eastAsia" w:ascii="仿宋" w:hAnsi="仿宋" w:eastAsia="仿宋" w:cs="仿宋"/>
          <w:b/>
          <w:bCs/>
          <w:sz w:val="28"/>
          <w:szCs w:val="28"/>
        </w:rPr>
        <w:t>附件三：</w:t>
      </w:r>
    </w:p>
    <w:p>
      <w:pPr>
        <w:jc w:val="center"/>
        <w:rPr>
          <w:rFonts w:ascii="黑体" w:hAnsi="黑体" w:eastAsia="黑体"/>
          <w:sz w:val="32"/>
          <w:szCs w:val="32"/>
        </w:rPr>
      </w:pPr>
      <w:r>
        <w:rPr>
          <w:rFonts w:hint="eastAsia" w:ascii="黑体" w:hAnsi="黑体" w:eastAsia="黑体"/>
          <w:sz w:val="32"/>
          <w:szCs w:val="32"/>
        </w:rPr>
        <w:t>供应商履约情况评价表（适用于服务类）</w:t>
      </w:r>
    </w:p>
    <w:tbl>
      <w:tblPr>
        <w:tblStyle w:val="8"/>
        <w:tblW w:w="10349" w:type="dxa"/>
        <w:tblInd w:w="-993" w:type="dxa"/>
        <w:tblLayout w:type="autofit"/>
        <w:tblCellMar>
          <w:top w:w="0" w:type="dxa"/>
          <w:left w:w="108" w:type="dxa"/>
          <w:bottom w:w="0" w:type="dxa"/>
          <w:right w:w="108" w:type="dxa"/>
        </w:tblCellMar>
      </w:tblPr>
      <w:tblGrid>
        <w:gridCol w:w="1130"/>
        <w:gridCol w:w="709"/>
        <w:gridCol w:w="1846"/>
        <w:gridCol w:w="2410"/>
        <w:gridCol w:w="1276"/>
        <w:gridCol w:w="1036"/>
        <w:gridCol w:w="1942"/>
      </w:tblGrid>
      <w:tr>
        <w:tblPrEx>
          <w:tblCellMar>
            <w:top w:w="0" w:type="dxa"/>
            <w:left w:w="108" w:type="dxa"/>
            <w:bottom w:w="0" w:type="dxa"/>
            <w:right w:w="108" w:type="dxa"/>
          </w:tblCellMar>
        </w:tblPrEx>
        <w:trPr>
          <w:trHeight w:val="462" w:hRule="atLeast"/>
        </w:trPr>
        <w:tc>
          <w:tcPr>
            <w:tcW w:w="6095" w:type="dxa"/>
            <w:gridSpan w:val="4"/>
            <w:tcBorders>
              <w:top w:val="nil"/>
              <w:left w:val="nil"/>
              <w:bottom w:val="nil"/>
              <w:right w:val="nil"/>
            </w:tcBorders>
            <w:shd w:val="clear" w:color="auto" w:fill="auto"/>
            <w:vAlign w:val="center"/>
          </w:tcPr>
          <w:p>
            <w:pPr>
              <w:widowControl/>
              <w:rPr>
                <w:rFonts w:ascii="宋体" w:hAnsi="宋体" w:cs="宋体"/>
                <w:b/>
                <w:bCs/>
                <w:sz w:val="20"/>
              </w:rPr>
            </w:pPr>
            <w:r>
              <w:rPr>
                <w:rFonts w:hint="eastAsia" w:ascii="宋体" w:hAnsi="宋体" w:cs="宋体"/>
                <w:b/>
                <w:bCs/>
                <w:sz w:val="20"/>
              </w:rPr>
              <w:t>填表单位：</w:t>
            </w:r>
          </w:p>
        </w:tc>
        <w:tc>
          <w:tcPr>
            <w:tcW w:w="4254" w:type="dxa"/>
            <w:gridSpan w:val="3"/>
            <w:tcBorders>
              <w:top w:val="nil"/>
              <w:left w:val="nil"/>
              <w:bottom w:val="nil"/>
              <w:right w:val="nil"/>
            </w:tcBorders>
            <w:shd w:val="clear" w:color="auto" w:fill="auto"/>
            <w:vAlign w:val="center"/>
          </w:tcPr>
          <w:p>
            <w:pPr>
              <w:widowControl/>
              <w:rPr>
                <w:rFonts w:ascii="宋体" w:hAnsi="宋体" w:cs="宋体"/>
                <w:b/>
                <w:bCs/>
                <w:sz w:val="20"/>
              </w:rPr>
            </w:pPr>
            <w:r>
              <w:rPr>
                <w:rFonts w:hint="eastAsia" w:ascii="宋体" w:hAnsi="宋体" w:cs="宋体"/>
                <w:b/>
                <w:bCs/>
                <w:sz w:val="20"/>
              </w:rPr>
              <w:t xml:space="preserve">填表时间: </w:t>
            </w:r>
            <w:r>
              <w:rPr>
                <w:rFonts w:hint="eastAsia" w:ascii="宋体" w:hAnsi="宋体" w:cs="宋体"/>
                <w:b/>
                <w:bCs/>
                <w:color w:val="000080"/>
                <w:sz w:val="20"/>
              </w:rPr>
              <w:t xml:space="preserve">     年   月  </w:t>
            </w:r>
            <w:r>
              <w:rPr>
                <w:rFonts w:ascii="宋体" w:hAnsi="宋体" w:cs="宋体"/>
                <w:b/>
                <w:bCs/>
                <w:color w:val="000080"/>
                <w:sz w:val="20"/>
              </w:rPr>
              <w:t xml:space="preserve">  </w:t>
            </w:r>
            <w:r>
              <w:rPr>
                <w:rFonts w:hint="eastAsia" w:ascii="宋体" w:hAnsi="宋体" w:cs="宋体"/>
                <w:b/>
                <w:bCs/>
                <w:color w:val="000080"/>
                <w:sz w:val="20"/>
              </w:rPr>
              <w:t>日</w:t>
            </w:r>
          </w:p>
        </w:tc>
      </w:tr>
      <w:tr>
        <w:tblPrEx>
          <w:tblCellMar>
            <w:top w:w="0" w:type="dxa"/>
            <w:left w:w="108" w:type="dxa"/>
            <w:bottom w:w="0" w:type="dxa"/>
            <w:right w:w="108" w:type="dxa"/>
          </w:tblCellMar>
        </w:tblPrEx>
        <w:trPr>
          <w:trHeight w:val="462" w:hRule="atLeast"/>
        </w:trPr>
        <w:tc>
          <w:tcPr>
            <w:tcW w:w="6095" w:type="dxa"/>
            <w:gridSpan w:val="4"/>
            <w:tcBorders>
              <w:top w:val="nil"/>
              <w:left w:val="nil"/>
              <w:bottom w:val="nil"/>
              <w:right w:val="nil"/>
            </w:tcBorders>
            <w:shd w:val="clear" w:color="auto" w:fill="auto"/>
            <w:vAlign w:val="center"/>
          </w:tcPr>
          <w:p>
            <w:pPr>
              <w:widowControl/>
              <w:rPr>
                <w:rFonts w:ascii="宋体" w:hAnsi="宋体" w:cs="宋体"/>
                <w:b/>
                <w:bCs/>
                <w:sz w:val="20"/>
              </w:rPr>
            </w:pPr>
            <w:r>
              <w:rPr>
                <w:rFonts w:hint="eastAsia" w:ascii="宋体" w:hAnsi="宋体" w:cs="宋体"/>
                <w:b/>
                <w:bCs/>
                <w:sz w:val="20"/>
              </w:rPr>
              <w:t>采购项目名称：</w:t>
            </w:r>
          </w:p>
        </w:tc>
        <w:tc>
          <w:tcPr>
            <w:tcW w:w="4254" w:type="dxa"/>
            <w:gridSpan w:val="3"/>
            <w:tcBorders>
              <w:top w:val="nil"/>
              <w:left w:val="nil"/>
              <w:bottom w:val="nil"/>
              <w:right w:val="nil"/>
            </w:tcBorders>
            <w:shd w:val="clear" w:color="auto" w:fill="auto"/>
            <w:vAlign w:val="center"/>
          </w:tcPr>
          <w:p>
            <w:pPr>
              <w:widowControl/>
              <w:rPr>
                <w:rFonts w:ascii="宋体" w:hAnsi="宋体" w:cs="宋体"/>
                <w:b/>
                <w:bCs/>
                <w:sz w:val="20"/>
              </w:rPr>
            </w:pPr>
            <w:r>
              <w:rPr>
                <w:rFonts w:hint="eastAsia" w:ascii="宋体" w:hAnsi="宋体" w:cs="宋体"/>
                <w:b/>
                <w:bCs/>
                <w:sz w:val="20"/>
              </w:rPr>
              <w:t>采购金额：</w:t>
            </w:r>
          </w:p>
        </w:tc>
      </w:tr>
      <w:tr>
        <w:tblPrEx>
          <w:tblCellMar>
            <w:top w:w="0" w:type="dxa"/>
            <w:left w:w="108" w:type="dxa"/>
            <w:bottom w:w="0" w:type="dxa"/>
            <w:right w:w="108" w:type="dxa"/>
          </w:tblCellMar>
        </w:tblPrEx>
        <w:trPr>
          <w:trHeight w:val="462" w:hRule="atLeast"/>
        </w:trPr>
        <w:tc>
          <w:tcPr>
            <w:tcW w:w="6095" w:type="dxa"/>
            <w:gridSpan w:val="4"/>
            <w:tcBorders>
              <w:top w:val="nil"/>
              <w:left w:val="nil"/>
              <w:bottom w:val="single" w:color="auto" w:sz="4" w:space="0"/>
              <w:right w:val="nil"/>
            </w:tcBorders>
            <w:shd w:val="clear" w:color="auto" w:fill="auto"/>
            <w:vAlign w:val="center"/>
          </w:tcPr>
          <w:p>
            <w:pPr>
              <w:widowControl/>
              <w:rPr>
                <w:rFonts w:ascii="宋体" w:hAnsi="宋体" w:cs="宋体"/>
                <w:b/>
                <w:bCs/>
                <w:sz w:val="20"/>
              </w:rPr>
            </w:pPr>
            <w:r>
              <w:rPr>
                <w:rFonts w:hint="eastAsia" w:ascii="宋体" w:hAnsi="宋体" w:cs="宋体"/>
                <w:b/>
                <w:bCs/>
                <w:sz w:val="20"/>
              </w:rPr>
              <w:t>供应商：</w:t>
            </w:r>
          </w:p>
        </w:tc>
        <w:tc>
          <w:tcPr>
            <w:tcW w:w="4254" w:type="dxa"/>
            <w:gridSpan w:val="3"/>
            <w:tcBorders>
              <w:top w:val="nil"/>
              <w:left w:val="nil"/>
              <w:bottom w:val="single" w:color="auto" w:sz="4" w:space="0"/>
              <w:right w:val="nil"/>
            </w:tcBorders>
            <w:shd w:val="clear" w:color="auto" w:fill="auto"/>
            <w:vAlign w:val="center"/>
          </w:tcPr>
          <w:p>
            <w:pPr>
              <w:widowControl/>
              <w:rPr>
                <w:rFonts w:ascii="宋体" w:hAnsi="宋体" w:cs="宋体"/>
                <w:b/>
                <w:bCs/>
                <w:sz w:val="20"/>
              </w:rPr>
            </w:pPr>
            <w:r>
              <w:rPr>
                <w:rFonts w:hint="eastAsia" w:ascii="宋体" w:hAnsi="宋体" w:cs="宋体"/>
                <w:b/>
                <w:bCs/>
                <w:sz w:val="20"/>
              </w:rPr>
              <w:t>评价期间：</w:t>
            </w:r>
            <w:r>
              <w:rPr>
                <w:rFonts w:hint="eastAsia" w:ascii="宋体" w:hAnsi="宋体" w:cs="宋体"/>
                <w:b/>
                <w:bCs/>
                <w:color w:val="000080"/>
                <w:sz w:val="20"/>
              </w:rPr>
              <w:t xml:space="preserve">    年  月  日-    年  月  日</w:t>
            </w:r>
          </w:p>
        </w:tc>
      </w:tr>
      <w:tr>
        <w:tblPrEx>
          <w:tblCellMar>
            <w:top w:w="0" w:type="dxa"/>
            <w:left w:w="108" w:type="dxa"/>
            <w:bottom w:w="0" w:type="dxa"/>
            <w:right w:w="108" w:type="dxa"/>
          </w:tblCellMar>
        </w:tblPrEx>
        <w:trPr>
          <w:trHeight w:val="642" w:hRule="atLeast"/>
        </w:trPr>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评价内容</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分值</w:t>
            </w:r>
          </w:p>
        </w:tc>
        <w:tc>
          <w:tcPr>
            <w:tcW w:w="425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计分方法</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计分标准</w:t>
            </w:r>
          </w:p>
          <w:p>
            <w:pPr>
              <w:widowControl/>
              <w:jc w:val="center"/>
              <w:rPr>
                <w:rFonts w:ascii="宋体" w:hAnsi="宋体" w:cs="宋体"/>
                <w:b/>
                <w:bCs/>
                <w:sz w:val="20"/>
              </w:rPr>
            </w:pPr>
            <w:r>
              <w:rPr>
                <w:rFonts w:hint="eastAsia" w:ascii="宋体" w:hAnsi="宋体" w:cs="宋体"/>
                <w:b/>
                <w:bCs/>
                <w:sz w:val="20"/>
              </w:rPr>
              <w:t>(固定分值)</w:t>
            </w:r>
          </w:p>
        </w:tc>
        <w:tc>
          <w:tcPr>
            <w:tcW w:w="103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得分</w:t>
            </w:r>
          </w:p>
          <w:p>
            <w:pPr>
              <w:widowControl/>
              <w:jc w:val="center"/>
              <w:rPr>
                <w:rFonts w:ascii="宋体" w:hAnsi="宋体" w:cs="宋体"/>
                <w:b/>
                <w:bCs/>
                <w:sz w:val="20"/>
              </w:rPr>
            </w:pPr>
            <w:r>
              <w:rPr>
                <w:rFonts w:hint="eastAsia" w:ascii="宋体" w:hAnsi="宋体" w:cs="宋体"/>
                <w:b/>
                <w:bCs/>
                <w:sz w:val="20"/>
              </w:rPr>
              <w:t>(备注3)</w:t>
            </w:r>
          </w:p>
        </w:tc>
        <w:tc>
          <w:tcPr>
            <w:tcW w:w="19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减分情况说明</w:t>
            </w:r>
          </w:p>
        </w:tc>
      </w:tr>
      <w:tr>
        <w:tblPrEx>
          <w:tblCellMar>
            <w:top w:w="0" w:type="dxa"/>
            <w:left w:w="108" w:type="dxa"/>
            <w:bottom w:w="0" w:type="dxa"/>
            <w:right w:w="108" w:type="dxa"/>
          </w:tblCellMar>
        </w:tblPrEx>
        <w:trPr>
          <w:trHeight w:val="595" w:hRule="atLeast"/>
        </w:trPr>
        <w:tc>
          <w:tcPr>
            <w:tcW w:w="11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sz w:val="20"/>
              </w:rPr>
            </w:pPr>
            <w:r>
              <w:rPr>
                <w:rFonts w:hint="eastAsia" w:ascii="宋体" w:hAnsi="宋体" w:cs="宋体"/>
                <w:sz w:val="20"/>
              </w:rPr>
              <w:t>人员配备</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 xml:space="preserve">30 </w:t>
            </w:r>
          </w:p>
        </w:tc>
        <w:tc>
          <w:tcPr>
            <w:tcW w:w="4256"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实际配备人员数量、技术等级符合合同约定</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30</w:t>
            </w:r>
          </w:p>
        </w:tc>
        <w:tc>
          <w:tcPr>
            <w:tcW w:w="1036"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sz w:val="20"/>
              </w:rPr>
            </w:pPr>
          </w:p>
        </w:tc>
        <w:tc>
          <w:tcPr>
            <w:tcW w:w="1942" w:type="dxa"/>
            <w:vMerge w:val="restart"/>
            <w:tcBorders>
              <w:top w:val="single" w:color="auto" w:sz="4" w:space="0"/>
              <w:left w:val="single" w:color="auto" w:sz="4" w:space="0"/>
              <w:right w:val="single" w:color="auto" w:sz="4" w:space="0"/>
            </w:tcBorders>
            <w:shd w:val="clear" w:color="auto" w:fill="auto"/>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5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由于供应商原因，人员配备数量、技术等级等未全部达到合同标准,但未对合同履行造成影响</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达到合同约定的90%-99%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27-29</w:t>
            </w:r>
          </w:p>
        </w:tc>
        <w:tc>
          <w:tcPr>
            <w:tcW w:w="1036" w:type="dxa"/>
            <w:vMerge w:val="continue"/>
            <w:tcBorders>
              <w:left w:val="single" w:color="auto" w:sz="4" w:space="0"/>
              <w:right w:val="single" w:color="auto" w:sz="4" w:space="0"/>
            </w:tcBorders>
            <w:vAlign w:val="center"/>
          </w:tcPr>
          <w:p>
            <w:pPr>
              <w:widowControl/>
              <w:jc w:val="center"/>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49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达到合同约定的80%-89%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24-26</w:t>
            </w:r>
          </w:p>
        </w:tc>
        <w:tc>
          <w:tcPr>
            <w:tcW w:w="1036" w:type="dxa"/>
            <w:vMerge w:val="continue"/>
            <w:tcBorders>
              <w:left w:val="single" w:color="auto" w:sz="4" w:space="0"/>
              <w:right w:val="single" w:color="auto" w:sz="4" w:space="0"/>
            </w:tcBorders>
            <w:vAlign w:val="center"/>
          </w:tcPr>
          <w:p>
            <w:pPr>
              <w:widowControl/>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2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达到合同约定的70%-79%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21-23</w:t>
            </w:r>
          </w:p>
        </w:tc>
        <w:tc>
          <w:tcPr>
            <w:tcW w:w="1036" w:type="dxa"/>
            <w:vMerge w:val="continue"/>
            <w:tcBorders>
              <w:left w:val="single" w:color="auto" w:sz="4" w:space="0"/>
              <w:right w:val="single" w:color="auto" w:sz="4" w:space="0"/>
            </w:tcBorders>
            <w:vAlign w:val="center"/>
          </w:tcPr>
          <w:p>
            <w:pPr>
              <w:widowControl/>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2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达到合同约定的60%-69%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18-20</w:t>
            </w:r>
          </w:p>
        </w:tc>
        <w:tc>
          <w:tcPr>
            <w:tcW w:w="1036" w:type="dxa"/>
            <w:vMerge w:val="continue"/>
            <w:tcBorders>
              <w:left w:val="single" w:color="auto" w:sz="4" w:space="0"/>
              <w:right w:val="single" w:color="auto" w:sz="4" w:space="0"/>
            </w:tcBorders>
            <w:vAlign w:val="center"/>
          </w:tcPr>
          <w:p>
            <w:pPr>
              <w:widowControl/>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49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4256"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由于供应商原因，实际配备人员情况未达到合同约定的60%，或由于人员配备原因，影响合同履行</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0</w:t>
            </w:r>
          </w:p>
        </w:tc>
        <w:tc>
          <w:tcPr>
            <w:tcW w:w="1036"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 w:val="20"/>
              </w:rPr>
            </w:pPr>
          </w:p>
        </w:tc>
        <w:tc>
          <w:tcPr>
            <w:tcW w:w="1942" w:type="dxa"/>
            <w:vMerge w:val="continue"/>
            <w:tcBorders>
              <w:left w:val="single" w:color="auto" w:sz="4" w:space="0"/>
              <w:bottom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448" w:hRule="atLeast"/>
        </w:trPr>
        <w:tc>
          <w:tcPr>
            <w:tcW w:w="11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sz w:val="20"/>
              </w:rPr>
            </w:pPr>
            <w:r>
              <w:rPr>
                <w:rFonts w:hint="eastAsia" w:ascii="宋体" w:hAnsi="宋体" w:cs="宋体"/>
                <w:sz w:val="20"/>
              </w:rPr>
              <w:t>工作成果</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 xml:space="preserve">30 </w:t>
            </w:r>
          </w:p>
        </w:tc>
        <w:tc>
          <w:tcPr>
            <w:tcW w:w="42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按照合同约定，完成各阶段工作</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30</w:t>
            </w:r>
          </w:p>
        </w:tc>
        <w:tc>
          <w:tcPr>
            <w:tcW w:w="1036"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sz w:val="20"/>
              </w:rPr>
            </w:pPr>
          </w:p>
        </w:tc>
        <w:tc>
          <w:tcPr>
            <w:tcW w:w="1942" w:type="dxa"/>
            <w:vMerge w:val="restart"/>
            <w:tcBorders>
              <w:top w:val="single" w:color="auto" w:sz="4" w:space="0"/>
              <w:left w:val="single" w:color="auto" w:sz="4" w:space="0"/>
              <w:right w:val="single" w:color="auto" w:sz="4" w:space="0"/>
            </w:tcBorders>
            <w:shd w:val="clear" w:color="auto" w:fill="auto"/>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70"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由于供应商原因，阶段性工作成果未全部达到合同约定</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达到合同约定的90%-99%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27-29</w:t>
            </w:r>
          </w:p>
        </w:tc>
        <w:tc>
          <w:tcPr>
            <w:tcW w:w="1036" w:type="dxa"/>
            <w:vMerge w:val="continue"/>
            <w:tcBorders>
              <w:left w:val="single" w:color="auto" w:sz="4" w:space="0"/>
              <w:right w:val="single" w:color="auto" w:sz="4" w:space="0"/>
            </w:tcBorders>
            <w:vAlign w:val="center"/>
          </w:tcPr>
          <w:p>
            <w:pPr>
              <w:widowControl/>
              <w:jc w:val="center"/>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70"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达到合同约定的80%-89%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24-26</w:t>
            </w:r>
          </w:p>
        </w:tc>
        <w:tc>
          <w:tcPr>
            <w:tcW w:w="1036" w:type="dxa"/>
            <w:vMerge w:val="continue"/>
            <w:tcBorders>
              <w:left w:val="single" w:color="auto" w:sz="4" w:space="0"/>
              <w:right w:val="single" w:color="auto" w:sz="4" w:space="0"/>
            </w:tcBorders>
            <w:vAlign w:val="center"/>
          </w:tcPr>
          <w:p>
            <w:pPr>
              <w:widowControl/>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70"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达到合同约定的70%-79%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21-22</w:t>
            </w:r>
          </w:p>
        </w:tc>
        <w:tc>
          <w:tcPr>
            <w:tcW w:w="1036" w:type="dxa"/>
            <w:vMerge w:val="continue"/>
            <w:tcBorders>
              <w:left w:val="single" w:color="auto" w:sz="4" w:space="0"/>
              <w:right w:val="single" w:color="auto" w:sz="4" w:space="0"/>
            </w:tcBorders>
            <w:vAlign w:val="center"/>
          </w:tcPr>
          <w:p>
            <w:pPr>
              <w:widowControl/>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70"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达到合同约定的60%-69%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18-20</w:t>
            </w:r>
          </w:p>
        </w:tc>
        <w:tc>
          <w:tcPr>
            <w:tcW w:w="1036" w:type="dxa"/>
            <w:vMerge w:val="continue"/>
            <w:tcBorders>
              <w:left w:val="single" w:color="auto" w:sz="4" w:space="0"/>
              <w:right w:val="single" w:color="auto" w:sz="4" w:space="0"/>
            </w:tcBorders>
            <w:vAlign w:val="center"/>
          </w:tcPr>
          <w:p>
            <w:pPr>
              <w:widowControl/>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34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4256"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由于供应商原因，阶段性工作实际完成情况未达到合同约定的60%</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0</w:t>
            </w:r>
          </w:p>
        </w:tc>
        <w:tc>
          <w:tcPr>
            <w:tcW w:w="1036"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 w:val="20"/>
              </w:rPr>
            </w:pPr>
          </w:p>
        </w:tc>
        <w:tc>
          <w:tcPr>
            <w:tcW w:w="1942" w:type="dxa"/>
            <w:vMerge w:val="continue"/>
            <w:tcBorders>
              <w:left w:val="single" w:color="auto" w:sz="4" w:space="0"/>
              <w:bottom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440" w:hRule="atLeast"/>
        </w:trPr>
        <w:tc>
          <w:tcPr>
            <w:tcW w:w="11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sz w:val="20"/>
              </w:rPr>
            </w:pPr>
            <w:r>
              <w:rPr>
                <w:rFonts w:hint="eastAsia" w:ascii="宋体" w:hAnsi="宋体" w:cs="宋体"/>
                <w:sz w:val="20"/>
              </w:rPr>
              <w:t>服务质量</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 xml:space="preserve">30 </w:t>
            </w:r>
          </w:p>
        </w:tc>
        <w:tc>
          <w:tcPr>
            <w:tcW w:w="4256"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完全符合合同约定</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30</w:t>
            </w:r>
          </w:p>
        </w:tc>
        <w:tc>
          <w:tcPr>
            <w:tcW w:w="1036"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sz w:val="20"/>
              </w:rPr>
            </w:pPr>
          </w:p>
        </w:tc>
        <w:tc>
          <w:tcPr>
            <w:tcW w:w="1942" w:type="dxa"/>
            <w:vMerge w:val="restart"/>
            <w:tcBorders>
              <w:top w:val="single" w:color="auto" w:sz="4" w:space="0"/>
              <w:left w:val="single" w:color="auto" w:sz="4" w:space="0"/>
              <w:right w:val="single" w:color="auto" w:sz="4" w:space="0"/>
            </w:tcBorders>
            <w:shd w:val="clear" w:color="auto" w:fill="auto"/>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5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由于供应商原因，服务质量未全部达到合同标准，但尚可接受</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达到合同约定的90%-99%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27-29</w:t>
            </w:r>
          </w:p>
        </w:tc>
        <w:tc>
          <w:tcPr>
            <w:tcW w:w="1036" w:type="dxa"/>
            <w:vMerge w:val="continue"/>
            <w:tcBorders>
              <w:left w:val="single" w:color="auto" w:sz="4" w:space="0"/>
              <w:right w:val="single" w:color="auto" w:sz="4" w:space="0"/>
            </w:tcBorders>
            <w:vAlign w:val="center"/>
          </w:tcPr>
          <w:p>
            <w:pPr>
              <w:widowControl/>
              <w:jc w:val="center"/>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5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达到合同约定的80%-89%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24-26</w:t>
            </w:r>
          </w:p>
        </w:tc>
        <w:tc>
          <w:tcPr>
            <w:tcW w:w="1036" w:type="dxa"/>
            <w:vMerge w:val="continue"/>
            <w:tcBorders>
              <w:left w:val="single" w:color="auto" w:sz="4" w:space="0"/>
              <w:right w:val="single" w:color="auto" w:sz="4" w:space="0"/>
            </w:tcBorders>
            <w:vAlign w:val="center"/>
          </w:tcPr>
          <w:p>
            <w:pPr>
              <w:widowControl/>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5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达到合同约定的70%-79%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21-23</w:t>
            </w:r>
          </w:p>
        </w:tc>
        <w:tc>
          <w:tcPr>
            <w:tcW w:w="1036" w:type="dxa"/>
            <w:vMerge w:val="continue"/>
            <w:tcBorders>
              <w:left w:val="single" w:color="auto" w:sz="4" w:space="0"/>
              <w:right w:val="single" w:color="auto" w:sz="4" w:space="0"/>
            </w:tcBorders>
            <w:vAlign w:val="center"/>
          </w:tcPr>
          <w:p>
            <w:pPr>
              <w:widowControl/>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5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184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达到合同约定的60%-69%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18-20</w:t>
            </w:r>
          </w:p>
        </w:tc>
        <w:tc>
          <w:tcPr>
            <w:tcW w:w="1036" w:type="dxa"/>
            <w:vMerge w:val="continue"/>
            <w:tcBorders>
              <w:left w:val="single" w:color="auto" w:sz="4" w:space="0"/>
              <w:right w:val="single" w:color="auto" w:sz="4" w:space="0"/>
            </w:tcBorders>
            <w:vAlign w:val="center"/>
          </w:tcPr>
          <w:p>
            <w:pPr>
              <w:widowControl/>
              <w:rPr>
                <w:rFonts w:ascii="宋体" w:hAnsi="宋体" w:cs="宋体"/>
                <w:sz w:val="20"/>
              </w:rPr>
            </w:pPr>
          </w:p>
        </w:tc>
        <w:tc>
          <w:tcPr>
            <w:tcW w:w="1942" w:type="dxa"/>
            <w:vMerge w:val="continue"/>
            <w:tcBorders>
              <w:left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34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4256"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由于供应商原因，未能完全达到合同约定，且不能接受</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0</w:t>
            </w:r>
          </w:p>
        </w:tc>
        <w:tc>
          <w:tcPr>
            <w:tcW w:w="1036"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sz w:val="20"/>
              </w:rPr>
            </w:pPr>
          </w:p>
        </w:tc>
        <w:tc>
          <w:tcPr>
            <w:tcW w:w="1942" w:type="dxa"/>
            <w:vMerge w:val="continue"/>
            <w:tcBorders>
              <w:left w:val="single" w:color="auto" w:sz="4" w:space="0"/>
              <w:bottom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345" w:hRule="atLeast"/>
        </w:trPr>
        <w:tc>
          <w:tcPr>
            <w:tcW w:w="11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sz w:val="20"/>
              </w:rPr>
            </w:pPr>
            <w:r>
              <w:rPr>
                <w:rFonts w:hint="eastAsia" w:ascii="宋体" w:hAnsi="宋体" w:cs="宋体"/>
                <w:sz w:val="20"/>
              </w:rPr>
              <w:t>职业操守</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 xml:space="preserve">10 </w:t>
            </w:r>
          </w:p>
        </w:tc>
        <w:tc>
          <w:tcPr>
            <w:tcW w:w="4256"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自觉按照国家法律法规、行业规定履职</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10</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sz w:val="20"/>
              </w:rPr>
            </w:pPr>
          </w:p>
        </w:tc>
        <w:tc>
          <w:tcPr>
            <w:tcW w:w="19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Cs w:val="24"/>
              </w:rPr>
            </w:pPr>
          </w:p>
        </w:tc>
      </w:tr>
      <w:tr>
        <w:tblPrEx>
          <w:tblCellMar>
            <w:top w:w="0" w:type="dxa"/>
            <w:left w:w="108" w:type="dxa"/>
            <w:bottom w:w="0" w:type="dxa"/>
            <w:right w:w="108" w:type="dxa"/>
          </w:tblCellMar>
        </w:tblPrEx>
        <w:trPr>
          <w:trHeight w:val="345" w:hRule="atLeast"/>
        </w:trPr>
        <w:tc>
          <w:tcPr>
            <w:tcW w:w="113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sz w:val="20"/>
              </w:rPr>
            </w:pPr>
          </w:p>
        </w:tc>
        <w:tc>
          <w:tcPr>
            <w:tcW w:w="4256"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不能自觉按照国家法律法规、行业规定履职</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0</w:t>
            </w:r>
          </w:p>
        </w:tc>
        <w:tc>
          <w:tcPr>
            <w:tcW w:w="103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 w:val="20"/>
              </w:rPr>
            </w:pPr>
          </w:p>
        </w:tc>
        <w:tc>
          <w:tcPr>
            <w:tcW w:w="194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Cs w:val="24"/>
              </w:rPr>
            </w:pPr>
          </w:p>
        </w:tc>
      </w:tr>
      <w:tr>
        <w:tblPrEx>
          <w:tblCellMar>
            <w:top w:w="0" w:type="dxa"/>
            <w:left w:w="108" w:type="dxa"/>
            <w:bottom w:w="0" w:type="dxa"/>
            <w:right w:w="108" w:type="dxa"/>
          </w:tblCellMar>
        </w:tblPrEx>
        <w:trPr>
          <w:trHeight w:val="360" w:hRule="atLeast"/>
        </w:trPr>
        <w:tc>
          <w:tcPr>
            <w:tcW w:w="609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szCs w:val="24"/>
              </w:rPr>
            </w:pPr>
            <w:r>
              <w:rPr>
                <w:rFonts w:hint="eastAsia" w:ascii="宋体" w:hAnsi="宋体" w:cs="宋体"/>
                <w:b/>
                <w:bCs/>
                <w:szCs w:val="24"/>
              </w:rPr>
              <w:t>总    分</w:t>
            </w:r>
          </w:p>
        </w:tc>
        <w:tc>
          <w:tcPr>
            <w:tcW w:w="4254"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sz w:val="20"/>
              </w:rPr>
            </w:pPr>
            <w:r>
              <w:rPr>
                <w:rFonts w:hint="eastAsia" w:ascii="宋体" w:hAnsi="宋体" w:cs="宋体"/>
                <w:b/>
                <w:bCs/>
                <w:sz w:val="20"/>
              </w:rPr>
              <w:t>0</w:t>
            </w:r>
          </w:p>
        </w:tc>
      </w:tr>
      <w:tr>
        <w:tblPrEx>
          <w:tblCellMar>
            <w:top w:w="0" w:type="dxa"/>
            <w:left w:w="108" w:type="dxa"/>
            <w:bottom w:w="0" w:type="dxa"/>
            <w:right w:w="108" w:type="dxa"/>
          </w:tblCellMar>
        </w:tblPrEx>
        <w:trPr>
          <w:trHeight w:val="480" w:hRule="atLeast"/>
        </w:trPr>
        <w:tc>
          <w:tcPr>
            <w:tcW w:w="8407" w:type="dxa"/>
            <w:gridSpan w:val="6"/>
            <w:tcBorders>
              <w:top w:val="single" w:color="auto" w:sz="4" w:space="0"/>
              <w:left w:val="single" w:color="auto" w:sz="4" w:space="0"/>
              <w:bottom w:val="single" w:color="auto" w:sz="4" w:space="0"/>
              <w:right w:val="single" w:color="auto" w:sz="4" w:space="0"/>
            </w:tcBorders>
            <w:shd w:val="clear" w:color="000000" w:fill="C0C0C0"/>
            <w:vAlign w:val="center"/>
          </w:tcPr>
          <w:p>
            <w:pPr>
              <w:widowControl/>
              <w:jc w:val="center"/>
              <w:rPr>
                <w:rFonts w:ascii="宋体" w:hAnsi="宋体" w:cs="宋体"/>
                <w:b/>
                <w:bCs/>
                <w:sz w:val="20"/>
              </w:rPr>
            </w:pPr>
            <w:r>
              <w:rPr>
                <w:rFonts w:hint="eastAsia" w:ascii="宋体" w:hAnsi="宋体" w:cs="宋体"/>
                <w:b/>
                <w:bCs/>
                <w:sz w:val="20"/>
              </w:rPr>
              <w:t>其他方面(如有，请列明。可另附纸)</w:t>
            </w:r>
          </w:p>
        </w:tc>
        <w:tc>
          <w:tcPr>
            <w:tcW w:w="1942" w:type="dxa"/>
            <w:tcBorders>
              <w:top w:val="single" w:color="auto" w:sz="4" w:space="0"/>
              <w:left w:val="single" w:color="auto" w:sz="4" w:space="0"/>
              <w:bottom w:val="single" w:color="auto" w:sz="4" w:space="0"/>
              <w:right w:val="single" w:color="auto" w:sz="4" w:space="0"/>
            </w:tcBorders>
            <w:shd w:val="clear" w:color="000000" w:fill="C0C0C0"/>
            <w:vAlign w:val="center"/>
          </w:tcPr>
          <w:p>
            <w:pPr>
              <w:widowControl/>
              <w:jc w:val="center"/>
              <w:rPr>
                <w:rFonts w:ascii="宋体" w:hAnsi="宋体" w:cs="宋体"/>
                <w:b/>
                <w:bCs/>
                <w:sz w:val="20"/>
              </w:rPr>
            </w:pPr>
            <w:r>
              <w:rPr>
                <w:rFonts w:hint="eastAsia" w:ascii="宋体" w:hAnsi="宋体" w:cs="宋体"/>
                <w:b/>
                <w:bCs/>
                <w:sz w:val="20"/>
              </w:rPr>
              <w:t>减分建议</w:t>
            </w:r>
          </w:p>
          <w:p>
            <w:pPr>
              <w:widowControl/>
              <w:jc w:val="center"/>
              <w:rPr>
                <w:rFonts w:ascii="宋体" w:hAnsi="宋体" w:cs="宋体"/>
                <w:b/>
                <w:bCs/>
                <w:sz w:val="20"/>
              </w:rPr>
            </w:pPr>
            <w:r>
              <w:rPr>
                <w:rFonts w:hint="eastAsia" w:ascii="宋体" w:hAnsi="宋体" w:cs="宋体"/>
                <w:b/>
                <w:bCs/>
                <w:sz w:val="20"/>
              </w:rPr>
              <w:t>（备注4）</w:t>
            </w:r>
          </w:p>
        </w:tc>
      </w:tr>
      <w:tr>
        <w:tblPrEx>
          <w:tblCellMar>
            <w:top w:w="0" w:type="dxa"/>
            <w:left w:w="108" w:type="dxa"/>
            <w:bottom w:w="0" w:type="dxa"/>
            <w:right w:w="108" w:type="dxa"/>
          </w:tblCellMar>
        </w:tblPrEx>
        <w:trPr>
          <w:trHeight w:val="510" w:hRule="atLeast"/>
        </w:trPr>
        <w:tc>
          <w:tcPr>
            <w:tcW w:w="18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采购配合情况</w:t>
            </w:r>
          </w:p>
          <w:p>
            <w:pPr>
              <w:widowControl/>
              <w:rPr>
                <w:rFonts w:ascii="宋体" w:hAnsi="宋体" w:cs="宋体"/>
                <w:sz w:val="20"/>
              </w:rPr>
            </w:pPr>
            <w:r>
              <w:rPr>
                <w:rFonts w:hint="eastAsia" w:ascii="宋体" w:hAnsi="宋体" w:cs="宋体"/>
                <w:sz w:val="20"/>
              </w:rPr>
              <w:t>（备注5）</w:t>
            </w:r>
          </w:p>
        </w:tc>
        <w:tc>
          <w:tcPr>
            <w:tcW w:w="656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p>
        </w:tc>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b/>
                <w:bCs/>
                <w:sz w:val="20"/>
              </w:rPr>
            </w:pPr>
          </w:p>
        </w:tc>
      </w:tr>
      <w:tr>
        <w:tblPrEx>
          <w:tblCellMar>
            <w:top w:w="0" w:type="dxa"/>
            <w:left w:w="108" w:type="dxa"/>
            <w:bottom w:w="0" w:type="dxa"/>
            <w:right w:w="108" w:type="dxa"/>
          </w:tblCellMar>
        </w:tblPrEx>
        <w:trPr>
          <w:trHeight w:val="720" w:hRule="atLeast"/>
        </w:trPr>
        <w:tc>
          <w:tcPr>
            <w:tcW w:w="18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发生除"评价内容"以外的,影响我行安全生产的事故（请具体说明）</w:t>
            </w:r>
          </w:p>
        </w:tc>
        <w:tc>
          <w:tcPr>
            <w:tcW w:w="656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p>
        </w:tc>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Cs w:val="24"/>
              </w:rPr>
            </w:pPr>
          </w:p>
        </w:tc>
      </w:tr>
      <w:tr>
        <w:tblPrEx>
          <w:tblCellMar>
            <w:top w:w="0" w:type="dxa"/>
            <w:left w:w="108" w:type="dxa"/>
            <w:bottom w:w="0" w:type="dxa"/>
            <w:right w:w="108" w:type="dxa"/>
          </w:tblCellMar>
        </w:tblPrEx>
        <w:trPr>
          <w:trHeight w:val="600" w:hRule="atLeast"/>
        </w:trPr>
        <w:tc>
          <w:tcPr>
            <w:tcW w:w="18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是否有有效投诉，处理情况</w:t>
            </w:r>
          </w:p>
        </w:tc>
        <w:tc>
          <w:tcPr>
            <w:tcW w:w="6568" w:type="dxa"/>
            <w:gridSpan w:val="4"/>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p>
        </w:tc>
        <w:tc>
          <w:tcPr>
            <w:tcW w:w="1942"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Cs w:val="24"/>
              </w:rPr>
            </w:pPr>
          </w:p>
        </w:tc>
      </w:tr>
      <w:tr>
        <w:tblPrEx>
          <w:tblCellMar>
            <w:top w:w="0" w:type="dxa"/>
            <w:left w:w="108" w:type="dxa"/>
            <w:bottom w:w="0" w:type="dxa"/>
            <w:right w:w="108" w:type="dxa"/>
          </w:tblCellMar>
        </w:tblPrEx>
        <w:trPr>
          <w:trHeight w:val="495" w:hRule="atLeast"/>
        </w:trPr>
        <w:tc>
          <w:tcPr>
            <w:tcW w:w="18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其他被认定的可减分因素</w:t>
            </w:r>
          </w:p>
        </w:tc>
        <w:tc>
          <w:tcPr>
            <w:tcW w:w="6568" w:type="dxa"/>
            <w:gridSpan w:val="4"/>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p>
        </w:tc>
        <w:tc>
          <w:tcPr>
            <w:tcW w:w="1942"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Cs w:val="24"/>
              </w:rPr>
            </w:pPr>
          </w:p>
        </w:tc>
      </w:tr>
      <w:tr>
        <w:tblPrEx>
          <w:tblCellMar>
            <w:top w:w="0" w:type="dxa"/>
            <w:left w:w="108" w:type="dxa"/>
            <w:bottom w:w="0" w:type="dxa"/>
            <w:right w:w="108" w:type="dxa"/>
          </w:tblCellMar>
        </w:tblPrEx>
        <w:trPr>
          <w:trHeight w:val="660" w:hRule="atLeast"/>
        </w:trPr>
        <w:tc>
          <w:tcPr>
            <w:tcW w:w="18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 w:val="20"/>
              </w:rPr>
            </w:pPr>
            <w:r>
              <w:rPr>
                <w:rFonts w:hint="eastAsia" w:ascii="宋体" w:hAnsi="宋体" w:cs="宋体"/>
                <w:sz w:val="20"/>
              </w:rPr>
              <w:t>影响合同履行的不可抗力因素</w:t>
            </w:r>
          </w:p>
          <w:p>
            <w:pPr>
              <w:widowControl/>
              <w:rPr>
                <w:rFonts w:ascii="宋体" w:hAnsi="宋体" w:cs="宋体"/>
                <w:sz w:val="20"/>
              </w:rPr>
            </w:pPr>
            <w:r>
              <w:rPr>
                <w:rFonts w:hint="eastAsia" w:ascii="宋体" w:hAnsi="宋体" w:cs="宋体"/>
                <w:sz w:val="20"/>
              </w:rPr>
              <w:t>（备注6）</w:t>
            </w:r>
          </w:p>
        </w:tc>
        <w:tc>
          <w:tcPr>
            <w:tcW w:w="6568" w:type="dxa"/>
            <w:gridSpan w:val="4"/>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 w:val="20"/>
              </w:rPr>
            </w:pPr>
          </w:p>
        </w:tc>
        <w:tc>
          <w:tcPr>
            <w:tcW w:w="1942"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szCs w:val="24"/>
              </w:rPr>
            </w:pPr>
          </w:p>
        </w:tc>
      </w:tr>
      <w:tr>
        <w:tblPrEx>
          <w:tblCellMar>
            <w:top w:w="0" w:type="dxa"/>
            <w:left w:w="108" w:type="dxa"/>
            <w:bottom w:w="0" w:type="dxa"/>
            <w:right w:w="108" w:type="dxa"/>
          </w:tblCellMar>
        </w:tblPrEx>
        <w:trPr>
          <w:trHeight w:val="540" w:hRule="atLeast"/>
        </w:trPr>
        <w:tc>
          <w:tcPr>
            <w:tcW w:w="10349" w:type="dxa"/>
            <w:gridSpan w:val="7"/>
            <w:tcBorders>
              <w:top w:val="single" w:color="auto" w:sz="4" w:space="0"/>
              <w:left w:val="single" w:color="auto" w:sz="4" w:space="0"/>
              <w:bottom w:val="single" w:color="auto" w:sz="4" w:space="0"/>
              <w:right w:val="single" w:color="auto" w:sz="4" w:space="0"/>
            </w:tcBorders>
            <w:shd w:val="clear" w:color="000000" w:fill="C0C0C0"/>
            <w:vAlign w:val="center"/>
          </w:tcPr>
          <w:p>
            <w:pPr>
              <w:widowControl/>
              <w:jc w:val="center"/>
              <w:rPr>
                <w:rFonts w:ascii="宋体" w:hAnsi="宋体" w:cs="宋体"/>
                <w:b/>
                <w:bCs/>
                <w:sz w:val="20"/>
              </w:rPr>
            </w:pPr>
            <w:r>
              <w:rPr>
                <w:rFonts w:hint="eastAsia" w:ascii="宋体" w:hAnsi="宋体" w:cs="宋体"/>
                <w:b/>
                <w:bCs/>
                <w:sz w:val="20"/>
              </w:rPr>
              <w:t>对供应商的意见或建议（可另附纸）</w:t>
            </w:r>
          </w:p>
        </w:tc>
      </w:tr>
      <w:tr>
        <w:tblPrEx>
          <w:tblCellMar>
            <w:top w:w="0" w:type="dxa"/>
            <w:left w:w="108" w:type="dxa"/>
            <w:bottom w:w="0" w:type="dxa"/>
            <w:right w:w="108" w:type="dxa"/>
          </w:tblCellMar>
        </w:tblPrEx>
        <w:trPr>
          <w:trHeight w:val="540" w:hRule="atLeast"/>
        </w:trPr>
        <w:tc>
          <w:tcPr>
            <w:tcW w:w="840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szCs w:val="24"/>
              </w:rPr>
            </w:pPr>
            <w:r>
              <w:rPr>
                <w:rFonts w:hint="eastAsia" w:ascii="宋体" w:hAnsi="宋体" w:cs="宋体"/>
                <w:szCs w:val="24"/>
              </w:rPr>
              <w:t>　</w:t>
            </w:r>
          </w:p>
        </w:tc>
        <w:tc>
          <w:tcPr>
            <w:tcW w:w="19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szCs w:val="24"/>
              </w:rPr>
            </w:pPr>
          </w:p>
        </w:tc>
      </w:tr>
    </w:tbl>
    <w:p>
      <w:pPr>
        <w:ind w:left="-809" w:leftChars="-337" w:right="-874" w:rightChars="-364"/>
        <w:rPr>
          <w:rFonts w:ascii="宋体" w:hAnsi="宋体" w:cs="宋体"/>
          <w:sz w:val="20"/>
        </w:rPr>
      </w:pPr>
      <w:r>
        <w:rPr>
          <w:rFonts w:hint="eastAsia" w:ascii="宋体" w:hAnsi="宋体" w:cs="宋体"/>
          <w:sz w:val="20"/>
        </w:rPr>
        <w:t>备注: 1、此表满分为100分。</w:t>
      </w:r>
    </w:p>
    <w:p>
      <w:pPr>
        <w:ind w:left="-809" w:leftChars="-337" w:right="-874" w:rightChars="-364" w:firstLine="600" w:firstLineChars="300"/>
        <w:rPr>
          <w:rFonts w:ascii="宋体" w:hAnsi="宋体" w:cs="宋体"/>
          <w:sz w:val="20"/>
        </w:rPr>
      </w:pPr>
      <w:r>
        <w:rPr>
          <w:rFonts w:hint="eastAsia" w:ascii="宋体" w:hAnsi="宋体" w:cs="宋体"/>
          <w:sz w:val="20"/>
        </w:rPr>
        <w:t>2、“供应商”指直接供货者，如为代理商，请同时注明原厂商名称。</w:t>
      </w:r>
    </w:p>
    <w:p>
      <w:pPr>
        <w:ind w:left="-809" w:leftChars="-337" w:right="-874" w:rightChars="-364" w:firstLine="600" w:firstLineChars="300"/>
        <w:rPr>
          <w:rFonts w:ascii="宋体" w:hAnsi="宋体" w:cs="宋体"/>
          <w:sz w:val="20"/>
        </w:rPr>
      </w:pPr>
      <w:r>
        <w:rPr>
          <w:rFonts w:hint="eastAsia" w:ascii="宋体" w:hAnsi="宋体" w:cs="宋体"/>
          <w:sz w:val="20"/>
        </w:rPr>
        <w:t>3、“得分”计分方法对应的计分标准分为固定分值(如“工作成果”中“按照合同约定，完成各阶段工作”对应的分值为30分)和计分区间(如“工作成果”中“由于供应商原因，阶段性工作成果未全部达到合同约定--达到合同约定的90%-99%”对应的计分区间为27-29分)。如有减分，需简要说明减分原因；如产品或服务不涉及某一项评分内容，该项评分为满分。</w:t>
      </w:r>
    </w:p>
    <w:p>
      <w:pPr>
        <w:ind w:left="-809" w:leftChars="-337" w:right="-874" w:rightChars="-364" w:firstLine="600" w:firstLineChars="300"/>
        <w:rPr>
          <w:rFonts w:ascii="宋体" w:hAnsi="宋体" w:cs="宋体"/>
          <w:sz w:val="20"/>
        </w:rPr>
      </w:pPr>
      <w:r>
        <w:rPr>
          <w:rFonts w:hint="eastAsia" w:ascii="宋体" w:hAnsi="宋体" w:cs="宋体"/>
          <w:sz w:val="20"/>
        </w:rPr>
        <w:t>4、“减分建议”在列明相关情况后，可给予1-10分之间的减分建议。</w:t>
      </w:r>
    </w:p>
    <w:p>
      <w:pPr>
        <w:ind w:left="-809" w:leftChars="-337" w:right="-874" w:rightChars="-364" w:firstLine="600" w:firstLineChars="300"/>
        <w:rPr>
          <w:rFonts w:ascii="宋体" w:hAnsi="宋体" w:cs="宋体"/>
          <w:sz w:val="20"/>
        </w:rPr>
      </w:pPr>
      <w:r>
        <w:rPr>
          <w:rFonts w:hint="eastAsia" w:ascii="宋体" w:hAnsi="宋体" w:cs="宋体"/>
          <w:sz w:val="20"/>
        </w:rPr>
        <w:t>5、“采购配合情况”包括采购响应及时性、应答材料的质量、提交材料的完备等情况。如有特殊情况，请在此加以说明。</w:t>
      </w:r>
    </w:p>
    <w:p>
      <w:pPr>
        <w:ind w:left="-809" w:leftChars="-337" w:right="-874" w:rightChars="-364" w:firstLine="600" w:firstLineChars="300"/>
        <w:rPr>
          <w:rFonts w:ascii="宋体" w:hAnsi="宋体" w:cs="宋体"/>
          <w:sz w:val="20"/>
        </w:rPr>
      </w:pPr>
      <w:r>
        <w:rPr>
          <w:rFonts w:hint="eastAsia" w:ascii="宋体" w:hAnsi="宋体" w:cs="宋体"/>
          <w:sz w:val="20"/>
        </w:rPr>
        <w:t>6、出现影响合同履行的不可抗力因素时，请说明影响合同履行的程度，相关内容不减分。</w:t>
      </w:r>
    </w:p>
    <w:p>
      <w:pPr>
        <w:ind w:left="-809" w:leftChars="-337"/>
      </w:pPr>
    </w:p>
    <w:p>
      <w:pPr>
        <w:spacing w:line="480" w:lineRule="exact"/>
        <w:rPr>
          <w:rFonts w:ascii="仿宋" w:hAnsi="仿宋" w:eastAsia="仿宋"/>
          <w:color w:val="000000"/>
          <w:sz w:val="28"/>
          <w:szCs w:val="28"/>
        </w:rPr>
      </w:pPr>
      <w:r>
        <w:rPr>
          <w:rFonts w:hint="eastAsia" w:ascii="宋体" w:hAnsi="宋体" w:cs="宋体"/>
          <w:b/>
          <w:bCs/>
          <w:color w:val="1206A7"/>
          <w:sz w:val="22"/>
        </w:rPr>
        <w:t>监管人签字:</w:t>
      </w:r>
      <w:r>
        <w:rPr>
          <w:rFonts w:ascii="宋体" w:hAnsi="宋体" w:cs="宋体"/>
          <w:b/>
          <w:bCs/>
          <w:color w:val="1206A7"/>
          <w:sz w:val="22"/>
        </w:rPr>
        <w:t xml:space="preserve">             </w:t>
      </w:r>
      <w:r>
        <w:rPr>
          <w:rFonts w:hint="eastAsia" w:ascii="宋体" w:hAnsi="宋体" w:cs="宋体"/>
          <w:b/>
          <w:bCs/>
          <w:color w:val="1206A7"/>
          <w:sz w:val="22"/>
        </w:rPr>
        <w:t xml:space="preserve">           </w:t>
      </w:r>
      <w:r>
        <w:rPr>
          <w:rFonts w:ascii="宋体" w:hAnsi="宋体" w:cs="宋体"/>
          <w:b/>
          <w:bCs/>
          <w:color w:val="1206A7"/>
          <w:sz w:val="22"/>
        </w:rPr>
        <w:t xml:space="preserve">  </w:t>
      </w:r>
      <w:r>
        <w:rPr>
          <w:rFonts w:hint="eastAsia" w:ascii="宋体" w:hAnsi="宋体" w:cs="宋体"/>
          <w:b/>
          <w:bCs/>
          <w:color w:val="1206A7"/>
          <w:sz w:val="22"/>
        </w:rPr>
        <w:t xml:space="preserve">项目/部门负责人签字 ：  </w:t>
      </w:r>
      <w:r>
        <w:rPr>
          <w:rFonts w:ascii="宋体" w:hAnsi="宋体" w:cs="宋体"/>
          <w:b/>
          <w:bCs/>
          <w:color w:val="1206A7"/>
          <w:sz w:val="22"/>
        </w:rPr>
        <w:t xml:space="preserve">  </w:t>
      </w:r>
    </w:p>
    <w:p>
      <w:pPr>
        <w:widowControl/>
        <w:adjustRightInd/>
        <w:spacing w:line="240" w:lineRule="auto"/>
        <w:textAlignment w:val="auto"/>
        <w:rPr>
          <w:rFonts w:ascii="仿宋" w:hAnsi="仿宋" w:eastAsia="仿宋" w:cs="仿宋"/>
          <w:b/>
          <w:bCs/>
          <w:sz w:val="28"/>
        </w:rPr>
      </w:pPr>
      <w:r>
        <w:rPr>
          <w:rFonts w:ascii="仿宋" w:hAnsi="仿宋" w:eastAsia="仿宋" w:cs="仿宋"/>
          <w:b/>
          <w:bCs/>
          <w:sz w:val="28"/>
        </w:rPr>
        <w:br w:type="page"/>
      </w:r>
    </w:p>
    <w:p>
      <w:pPr>
        <w:spacing w:before="156" w:after="156"/>
        <w:rPr>
          <w:rFonts w:ascii="仿宋" w:hAnsi="仿宋" w:eastAsia="仿宋" w:cs="仿宋"/>
          <w:b/>
          <w:sz w:val="28"/>
          <w:szCs w:val="28"/>
        </w:rPr>
      </w:pPr>
      <w:r>
        <w:rPr>
          <w:rFonts w:hint="eastAsia" w:ascii="仿宋" w:hAnsi="仿宋" w:eastAsia="仿宋" w:cs="仿宋"/>
          <w:b/>
          <w:bCs/>
          <w:sz w:val="28"/>
        </w:rPr>
        <w:t>附件四：</w:t>
      </w:r>
      <w:r>
        <w:rPr>
          <w:rFonts w:hint="eastAsia"/>
        </w:rPr>
        <w:t xml:space="preserve">        </w:t>
      </w:r>
      <w:r>
        <w:rPr>
          <w:rFonts w:hint="eastAsia" w:ascii="仿宋" w:hAnsi="仿宋" w:eastAsia="仿宋" w:cs="仿宋"/>
        </w:rPr>
        <w:t xml:space="preserve">      </w:t>
      </w:r>
      <w:r>
        <w:rPr>
          <w:rFonts w:hint="eastAsia" w:ascii="仿宋" w:hAnsi="仿宋" w:eastAsia="仿宋" w:cs="仿宋"/>
          <w:b/>
          <w:sz w:val="28"/>
          <w:szCs w:val="28"/>
        </w:rPr>
        <w:t>合规及廉洁交易承诺函</w:t>
      </w:r>
    </w:p>
    <w:p>
      <w:pPr>
        <w:spacing w:before="156" w:after="156"/>
        <w:rPr>
          <w:rFonts w:ascii="仿宋" w:hAnsi="仿宋" w:eastAsia="仿宋" w:cs="仿宋"/>
          <w:b/>
          <w:sz w:val="28"/>
          <w:szCs w:val="28"/>
        </w:rPr>
      </w:pPr>
    </w:p>
    <w:p>
      <w:pPr>
        <w:pStyle w:val="11"/>
        <w:spacing w:after="120" w:afterLines="50" w:line="240" w:lineRule="atLeast"/>
        <w:jc w:val="left"/>
        <w:rPr>
          <w:rFonts w:ascii="仿宋" w:hAnsi="仿宋" w:eastAsia="仿宋" w:cs="仿宋"/>
          <w:szCs w:val="24"/>
          <w:lang w:eastAsia="zh-CN"/>
        </w:rPr>
      </w:pPr>
      <w:r>
        <w:rPr>
          <w:rFonts w:hint="eastAsia" w:ascii="仿宋" w:hAnsi="仿宋" w:eastAsia="仿宋" w:cs="仿宋"/>
          <w:szCs w:val="24"/>
          <w:lang w:eastAsia="zh-CN"/>
        </w:rPr>
        <w:t>致：【新中物业管理（中国）有限公司深圳分公司】（以下称</w:t>
      </w:r>
      <w:r>
        <w:rPr>
          <w:rFonts w:hint="eastAsia" w:ascii="仿宋" w:hAnsi="仿宋" w:eastAsia="仿宋" w:cs="仿宋"/>
          <w:b/>
          <w:szCs w:val="24"/>
          <w:lang w:eastAsia="zh-CN"/>
        </w:rPr>
        <w:t>“贵公司”</w:t>
      </w:r>
      <w:r>
        <w:rPr>
          <w:rFonts w:hint="eastAsia" w:ascii="仿宋" w:hAnsi="仿宋" w:eastAsia="仿宋" w:cs="仿宋"/>
          <w:szCs w:val="24"/>
          <w:lang w:eastAsia="zh-CN"/>
        </w:rPr>
        <w:t>）</w:t>
      </w:r>
    </w:p>
    <w:p>
      <w:pPr>
        <w:pStyle w:val="11"/>
        <w:spacing w:after="120" w:afterLines="50" w:line="400" w:lineRule="exact"/>
        <w:ind w:firstLine="480" w:firstLineChars="200"/>
        <w:jc w:val="left"/>
        <w:rPr>
          <w:rFonts w:ascii="仿宋" w:hAnsi="仿宋" w:eastAsia="仿宋" w:cs="仿宋"/>
          <w:lang w:eastAsia="zh-CN"/>
        </w:rPr>
      </w:pPr>
      <w:r>
        <w:rPr>
          <w:rFonts w:hint="eastAsia" w:ascii="仿宋" w:hAnsi="仿宋" w:eastAsia="仿宋" w:cs="仿宋"/>
          <w:szCs w:val="24"/>
          <w:lang w:eastAsia="zh-CN"/>
        </w:rPr>
        <w:t>【深圳昌恩智能股份有限公司 】（以下称“</w:t>
      </w:r>
      <w:r>
        <w:rPr>
          <w:rFonts w:hint="eastAsia" w:ascii="仿宋" w:hAnsi="仿宋" w:eastAsia="仿宋" w:cs="仿宋"/>
          <w:b/>
          <w:bCs/>
          <w:szCs w:val="24"/>
          <w:lang w:eastAsia="zh-CN"/>
        </w:rPr>
        <w:t>承诺人</w:t>
      </w:r>
      <w:r>
        <w:rPr>
          <w:rFonts w:hint="eastAsia" w:ascii="仿宋" w:hAnsi="仿宋" w:eastAsia="仿宋" w:cs="仿宋"/>
          <w:szCs w:val="24"/>
          <w:lang w:eastAsia="zh-CN"/>
        </w:rPr>
        <w:t>”）有意愿或已成为贵公司商业合作伙伴，并充分理解双方合作关系是建立于双方在商业活动中共同认可及遵</w:t>
      </w:r>
      <w:r>
        <w:rPr>
          <w:rFonts w:hint="eastAsia" w:ascii="仿宋" w:hAnsi="仿宋" w:eastAsia="仿宋" w:cs="仿宋"/>
          <w:lang w:eastAsia="zh-CN"/>
        </w:rPr>
        <w:t>守的合规、廉洁与诚信原则的基础之上。</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承诺人，是指本合规及廉洁交易承诺函（以下称“本函”）签署方及包括签署方的实际控制人、法定代表人、股东、董事、高级管理人员、员工在内的人员。</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承诺人在与贵公司的一切商业合作和往来中，将以合规、廉洁与诚信为基本原则行事，并尽一切必要措施和努力，遵守所适用的法律法规、行业规范、企业规章制度和自律规则。为履行前述承诺，承诺人确认并承诺：</w:t>
      </w:r>
    </w:p>
    <w:p>
      <w:pPr>
        <w:pStyle w:val="11"/>
        <w:numPr>
          <w:ilvl w:val="0"/>
          <w:numId w:val="3"/>
        </w:numPr>
        <w:spacing w:after="120" w:afterLines="50" w:line="240" w:lineRule="atLeast"/>
        <w:ind w:left="902"/>
        <w:jc w:val="left"/>
        <w:rPr>
          <w:rFonts w:ascii="仿宋" w:hAnsi="仿宋" w:eastAsia="仿宋" w:cs="仿宋"/>
          <w:b/>
          <w:lang w:eastAsia="zh-CN"/>
        </w:rPr>
      </w:pPr>
      <w:r>
        <w:rPr>
          <w:rFonts w:hint="eastAsia" w:ascii="仿宋" w:hAnsi="仿宋" w:eastAsia="仿宋" w:cs="仿宋"/>
          <w:b/>
          <w:lang w:eastAsia="zh-CN"/>
        </w:rPr>
        <w:t>坚持廉洁交易</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承诺人</w:t>
      </w:r>
      <w:r>
        <w:rPr>
          <w:rFonts w:hint="eastAsia" w:ascii="仿宋" w:hAnsi="仿宋" w:eastAsia="仿宋" w:cs="仿宋"/>
          <w:color w:val="auto"/>
          <w:lang w:eastAsia="zh-CN"/>
        </w:rPr>
        <w:t>确认并承诺，在与贵公司合作过程中不会从事任何形式的影响公平竞争的腐败或其他不廉洁的行为（包括但不限于赠送实物、现金或礼券，提供工作餐以外的宴请及其他消费,为其家属或子女安排工作，就合作相关事宜进行私下协商或私下达成默契等行为）。绝不向贵公司对决策及交易执行有重大影响的关联人员、关系人及/或其指定人提供、许诺任何形式的不正当利益，和/或诱使其从事任何侵害贵公司及/或贵公司客户之利益或违背</w:t>
      </w:r>
      <w:r>
        <w:rPr>
          <w:rFonts w:hint="eastAsia" w:ascii="仿宋" w:hAnsi="仿宋" w:eastAsia="仿宋" w:cs="仿宋"/>
          <w:lang w:eastAsia="zh-CN"/>
        </w:rPr>
        <w:t>其职责要求、廉洁从业等有关规定的行为，无论承诺人是否因此获得商业机会和竞争优势。</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关系人，是指贵公司关联人员之近亲属，包括配偶、父母、子女、兄弟姐妹、祖父母、外祖父母、孙子女、外孙子女或其他密切关系人员，及/或关联人员或其近亲属控制或担任高管的企业。</w:t>
      </w:r>
    </w:p>
    <w:p>
      <w:pPr>
        <w:pStyle w:val="11"/>
        <w:numPr>
          <w:ilvl w:val="0"/>
          <w:numId w:val="3"/>
        </w:numPr>
        <w:spacing w:after="120" w:afterLines="50" w:line="240" w:lineRule="atLeast"/>
        <w:ind w:left="902"/>
        <w:jc w:val="left"/>
        <w:rPr>
          <w:rFonts w:ascii="仿宋" w:hAnsi="仿宋" w:eastAsia="仿宋" w:cs="仿宋"/>
          <w:b/>
          <w:lang w:eastAsia="zh-CN"/>
        </w:rPr>
      </w:pPr>
      <w:r>
        <w:rPr>
          <w:rFonts w:hint="eastAsia" w:ascii="仿宋" w:hAnsi="仿宋" w:eastAsia="仿宋" w:cs="仿宋"/>
          <w:b/>
          <w:lang w:eastAsia="zh-CN"/>
        </w:rPr>
        <w:t>保护知识产权&amp;保密信息</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承诺人确认，贵公司知识产权（包括在任何国家或地区的法域内被承认及/或受国际公约保护的专利权、商标权、著作权、工业设计、市场资讯、行销策略、专有技术及其他形式的知识产权）在任何情况下均属于贵公司的财产。</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未经贵公司书面许可，承诺人不曾也不会将保密信息（以口头或书面的形式指定为属于保密信息的，或该信息从披露的环境和性质判断明显具有保密性的信息，如图纸、样品、客户和供应商名单、原型、模型或方法等）用于双方商业合作目的之外任何其他目的或实施任何侵犯贵公司知识产权或保密信息的行为，包括对保密信息进行复制或制作摘录，或将保密信息披露或泄露给任何第三方等。对于任何披露给承诺人的保密信息，承诺人给予该保密信息的保护应当等同于承诺人给予自身保密信息的保护。</w:t>
      </w:r>
    </w:p>
    <w:p>
      <w:pPr>
        <w:pStyle w:val="11"/>
        <w:numPr>
          <w:ilvl w:val="0"/>
          <w:numId w:val="3"/>
        </w:numPr>
        <w:spacing w:after="120" w:afterLines="50" w:line="240" w:lineRule="atLeast"/>
        <w:ind w:left="902"/>
        <w:jc w:val="left"/>
        <w:rPr>
          <w:rFonts w:ascii="仿宋" w:hAnsi="仿宋" w:eastAsia="仿宋" w:cs="仿宋"/>
          <w:b/>
          <w:lang w:eastAsia="zh-CN"/>
        </w:rPr>
      </w:pPr>
      <w:r>
        <w:rPr>
          <w:rFonts w:hint="eastAsia" w:ascii="仿宋" w:hAnsi="仿宋" w:eastAsia="仿宋" w:cs="仿宋"/>
          <w:b/>
          <w:lang w:eastAsia="zh-CN"/>
        </w:rPr>
        <w:t>利益冲突披露</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承诺人确认并承诺，不得让贵公司对决策及交易执行有重大影响的关联人员及其关系人参股。如果贵公司的该等关联人员和/或其关系人在为承诺人工作，或担任其雇员、顾问、董事、高管或者股东等，承诺人将及时向贵公司报告。</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承诺人理解并知悉，除非得到贵公司另行书面确认，若任何承诺人关联人员与贵公司的股东、董事、高管、其他关键决策人员或上述贵公司关联人员或关系人等存在法律上的关联关系，则在相关交易或合作项目中，承诺人的该等人员应予以回避。且在任何情况下，承诺人均不应当利用或引诱任何贵公司员工利用职务便利为承诺人或任何第三方谋求不当商业利益或竞争优势。</w:t>
      </w:r>
    </w:p>
    <w:p>
      <w:pPr>
        <w:pStyle w:val="11"/>
        <w:numPr>
          <w:ilvl w:val="0"/>
          <w:numId w:val="3"/>
        </w:numPr>
        <w:spacing w:after="120" w:afterLines="50" w:line="240" w:lineRule="atLeast"/>
        <w:ind w:left="902"/>
        <w:jc w:val="left"/>
        <w:rPr>
          <w:rFonts w:ascii="仿宋" w:hAnsi="仿宋" w:eastAsia="仿宋" w:cs="仿宋"/>
          <w:b/>
          <w:lang w:eastAsia="zh-CN"/>
        </w:rPr>
      </w:pPr>
      <w:r>
        <w:rPr>
          <w:rFonts w:hint="eastAsia" w:ascii="仿宋" w:hAnsi="仿宋" w:eastAsia="仿宋" w:cs="仿宋"/>
          <w:b/>
          <w:lang w:eastAsia="zh-CN"/>
        </w:rPr>
        <w:t>坚持合规经营</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 xml:space="preserve">承诺人确认并承诺，坚持依法合规经营原则，不实施任何影响公平竞争的行为。承诺人向贵公司提供的一切材料都是真实、合法、有效、完整的；如材料中涉及第三方保密信息，承诺人保证已经获得第三方授权。 </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承诺人特此承诺：在与贵公司合作开展业务过程中，严格遵守所适用的国家及地方关于环境保护、劳动雇佣、信息安全、产品销售等任何与业务开展相关的法律、法规、规范、标准的要求。截止本承诺函出具之日，在承诺人已知范围内，不存在任何未向贵公司披露的近三年内因违规事项而导致承诺人被施以行政处罚、刑事责任的情况。如在本承诺函出具后发生此类情况的，承诺人将以书面形式向贵公司全面、真实、完整地披露详细情况。</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承诺人理解并知悉，为确保承诺人严格履行本函规定的义务，承诺人有义务配合贵公司的商业合作伙伴合规检查，包括但不限于提供与合规检查相关的文件、信息，指定适当人员参与访谈并如实陈述相关情况，根据贵公司合理要求及时采取有效整改措施等。</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lang w:eastAsia="zh-CN"/>
        </w:rPr>
        <w:t>承诺人确认并同意，任何违反上述承诺的行为，都将视为严重违约行为，贵公司有权无条件立即终止与承诺人的全部合作及相关合作协议，并有权进一步追究承诺人的违规行为给贵公司造成的全部损失。</w:t>
      </w:r>
    </w:p>
    <w:p>
      <w:pPr>
        <w:pStyle w:val="11"/>
        <w:spacing w:after="120" w:afterLines="50" w:line="240" w:lineRule="atLeast"/>
        <w:ind w:firstLine="480" w:firstLineChars="200"/>
        <w:jc w:val="left"/>
        <w:rPr>
          <w:rFonts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251660288" behindDoc="0" locked="0" layoutInCell="1" allowOverlap="1">
                <wp:simplePos x="0" y="0"/>
                <wp:positionH relativeFrom="column">
                  <wp:posOffset>-214630</wp:posOffset>
                </wp:positionH>
                <wp:positionV relativeFrom="paragraph">
                  <wp:posOffset>213360</wp:posOffset>
                </wp:positionV>
                <wp:extent cx="5733415" cy="1438910"/>
                <wp:effectExtent l="7620" t="7620" r="12065" b="20320"/>
                <wp:wrapNone/>
                <wp:docPr id="5" name="文本框 5"/>
                <wp:cNvGraphicFramePr/>
                <a:graphic xmlns:a="http://schemas.openxmlformats.org/drawingml/2006/main">
                  <a:graphicData uri="http://schemas.microsoft.com/office/word/2010/wordprocessingShape">
                    <wps:wsp>
                      <wps:cNvSpPr txBox="1"/>
                      <wps:spPr>
                        <a:xfrm>
                          <a:off x="918210" y="5947410"/>
                          <a:ext cx="5733415" cy="1438910"/>
                        </a:xfrm>
                        <a:prstGeom prst="rect">
                          <a:avLst/>
                        </a:prstGeom>
                        <a:solidFill>
                          <a:srgbClr val="FFFFFF"/>
                        </a:solidFill>
                        <a:ln w="15875" cmpd="sng">
                          <a:solidFill>
                            <a:srgbClr val="000000"/>
                          </a:solidFill>
                          <a:prstDash val="sysDash"/>
                        </a:ln>
                        <a:effectLst/>
                      </wps:spPr>
                      <wps:txbx>
                        <w:txbxContent>
                          <w:p>
                            <w:pPr>
                              <w:pStyle w:val="11"/>
                              <w:spacing w:after="120" w:afterLines="50" w:line="240" w:lineRule="atLeast"/>
                              <w:rPr>
                                <w:rFonts w:ascii="仿宋" w:hAnsi="仿宋" w:eastAsia="仿宋" w:cs="仿宋"/>
                                <w:lang w:eastAsia="zh-CN"/>
                              </w:rPr>
                            </w:pPr>
                            <w:r>
                              <w:rPr>
                                <w:rFonts w:hint="eastAsia" w:ascii="仿宋" w:hAnsi="仿宋" w:eastAsia="仿宋" w:cs="仿宋"/>
                                <w:lang w:eastAsia="zh-CN"/>
                              </w:rPr>
                              <w:t>若发现任何贵公司人员或贵公司其他商业合作伙伴违反合规廉洁的行为，承诺人可通过以下联系方式向贵公司举报，并同意为所举报事项的调查提供合理必要的协助。</w:t>
                            </w:r>
                          </w:p>
                          <w:p>
                            <w:pPr>
                              <w:pStyle w:val="11"/>
                              <w:numPr>
                                <w:ilvl w:val="0"/>
                                <w:numId w:val="4"/>
                              </w:numPr>
                              <w:spacing w:after="120" w:afterLines="50" w:line="240" w:lineRule="atLeast"/>
                              <w:rPr>
                                <w:rFonts w:ascii="仿宋" w:hAnsi="仿宋" w:eastAsia="仿宋" w:cs="仿宋"/>
                                <w:u w:val="single"/>
                                <w:lang w:eastAsia="zh-CN"/>
                              </w:rPr>
                            </w:pPr>
                            <w:r>
                              <w:rPr>
                                <w:rFonts w:hint="eastAsia" w:ascii="仿宋" w:hAnsi="仿宋" w:eastAsia="仿宋" w:cs="仿宋"/>
                                <w:lang w:eastAsia="zh-CN"/>
                              </w:rPr>
                              <w:t xml:space="preserve">招商积余监察部（纪委办）：电子邮箱地址 </w:t>
                            </w:r>
                            <w:r>
                              <w:rPr>
                                <w:rFonts w:hint="eastAsia" w:ascii="仿宋" w:hAnsi="仿宋" w:eastAsia="仿宋" w:cs="仿宋"/>
                                <w:szCs w:val="28"/>
                                <w:lang w:eastAsia="zh-CN"/>
                              </w:rPr>
                              <w:t>shz_fd@sunchung.com.cn</w:t>
                            </w:r>
                          </w:p>
                          <w:p>
                            <w:pPr>
                              <w:pStyle w:val="11"/>
                              <w:numPr>
                                <w:ilvl w:val="0"/>
                                <w:numId w:val="4"/>
                              </w:numPr>
                              <w:spacing w:after="120" w:afterLines="50" w:line="240" w:lineRule="atLeast"/>
                              <w:rPr>
                                <w:rFonts w:ascii="仿宋" w:hAnsi="仿宋" w:eastAsia="仿宋" w:cs="仿宋"/>
                              </w:rPr>
                            </w:pPr>
                            <w:r>
                              <w:rPr>
                                <w:rFonts w:hint="eastAsia" w:ascii="仿宋" w:hAnsi="仿宋" w:eastAsia="仿宋" w:cs="仿宋"/>
                                <w:lang w:eastAsia="zh-CN"/>
                              </w:rPr>
                              <w:t>举报电话 _</w:t>
                            </w:r>
                            <w:r>
                              <w:rPr>
                                <w:rFonts w:hint="eastAsia" w:ascii="仿宋" w:hAnsi="仿宋" w:eastAsia="仿宋" w:cs="仿宋"/>
                                <w:u w:val="single"/>
                                <w:lang w:eastAsia="zh-CN"/>
                              </w:rPr>
                              <w:t>0755-822336869</w:t>
                            </w:r>
                            <w:r>
                              <w:rPr>
                                <w:rFonts w:hint="eastAsia" w:ascii="仿宋" w:hAnsi="仿宋" w:eastAsia="仿宋" w:cs="仿宋"/>
                                <w:lang w:eastAsia="zh-CN"/>
                              </w:rPr>
                              <w:t>_</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9pt;margin-top:16.8pt;height:113.3pt;width:451.45pt;z-index:251660288;v-text-anchor:middle;mso-width-relative:page;mso-height-relative:page;" fillcolor="#FFFFFF" filled="t" stroked="t" coordsize="21600,21600" o:gfxdata="UEsDBAoAAAAAAIdO4kAAAAAAAAAAAAAAAAAEAAAAZHJzL1BLAwQUAAAACACHTuJAGjiP2dgAAAAK&#10;AQAADwAAAGRycy9kb3ducmV2LnhtbE2PMU/DMBSEdyT+g/WQ2FonsRraNE4HEB1gonRhc+LXJMJ+&#10;DrbTln+PmWA83enuu3p3tYad0YfRkYR8mQFD6pweqZdwfH9erIGFqEgr4wglfGOAXXN7U6tKuwu9&#10;4fkQe5ZKKFRKwhDjVHEeugGtCks3ISXv5LxVMUnfc+3VJZVbw4ssK7lVI6WFQU34OGD3eZithIep&#10;ffUrYb6Mf6L96aVY7efjh5T3d3m2BRbxGv/C8Iuf0KFJTK2bSQdmJCyESOhRghAlsBRYl5scWCuh&#10;KLMCeFPz/xeaH1BLAwQUAAAACACHTuJAa5ixf3wCAAD7BAAADgAAAGRycy9lMm9Eb2MueG1srVTN&#10;btswDL4P2DsIuq+OU2f5QZ0ia5BhQLEW6IadFVmODUiiJimxswfY3mCnXXbfc+U5RslOm3Y99DAf&#10;HFL88pH8RPrislWS7IR1NeicpmcDSoTmUNR6k9PPn1ZvJpQ4z3TBJGiR071w9HL++tVFY2ZiCBXI&#10;QliCJNrNGpPTynszSxLHK6GYOwMjNAZLsIp5dO0mKSxrkF3JZDgYvE0asIWxwIVzeLrsgrRntC8h&#10;hLKsuVgC3yqhfcdqhWQeW3JVbRydx2rLUnB/U5ZOeCJzip36+MYkaK/DO5lfsNnGMlPVvC+BvaSE&#10;Jz0pVmtMek+1ZJ6Rra3/oVI1t+Cg9GccVNI1EhXBLtLBE23uKmZE7AWlduZedPf/aPnH3a0ldZHT&#10;ESWaKbzww88fh19/Dr+/k1GQpzFuhqg7gzjfvoMWh+Z47vAwdN2WVoVf7IdgfJpOhikqvEfWaTbO&#10;0I46i9YTjvHR+Pw8SzEhR0SanU+mHSJ5YDLW+fcCFAlGTi1eZNSX7a6dRzKEHiEhsQNZF6tayujY&#10;zfpKWrJjeOmr+IT8+JdHMKlJg+lHk3GoRBnUwOlNzPII507pBvF5ji6Us2Su6tK6vQtOD5Q61CXi&#10;PPb1B1k7+YLl23Xba72GYo9SW+hm1Rm+qpH6mjl/yywOJwqL6+tv8FVKwBagtyipwH577jzgcWYw&#10;SkmDw46dft0yKyiRHzRO0zTNsrAd0clG4yE69jSyPo3orboClDbFD4Xh0Qx4L49maUF9wS1fhKwY&#10;Yppj7pxyb4/Ole+WEL8TXCwWEYYbYZi/1neGB/IgmYbF1kNZxysPQnXq4GUGB3ciXmu/v2HpTv2I&#10;evhmz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GjiP2dgAAAAKAQAADwAAAAAAAAABACAAAAAi&#10;AAAAZHJzL2Rvd25yZXYueG1sUEsBAhQAFAAAAAgAh07iQGuYsX98AgAA+wQAAA4AAAAAAAAAAQAg&#10;AAAAJwEAAGRycy9lMm9Eb2MueG1sUEsFBgAAAAAGAAYAWQEAABUGAAAAAA==&#10;">
                <v:fill on="t" focussize="0,0"/>
                <v:stroke weight="1.25pt" color="#000000" joinstyle="round" dashstyle="3 1"/>
                <v:imagedata o:title=""/>
                <o:lock v:ext="edit" aspectratio="f"/>
                <v:textbox>
                  <w:txbxContent>
                    <w:p>
                      <w:pPr>
                        <w:pStyle w:val="11"/>
                        <w:spacing w:after="120" w:afterLines="50" w:line="240" w:lineRule="atLeast"/>
                        <w:rPr>
                          <w:rFonts w:ascii="仿宋" w:hAnsi="仿宋" w:eastAsia="仿宋" w:cs="仿宋"/>
                          <w:lang w:eastAsia="zh-CN"/>
                        </w:rPr>
                      </w:pPr>
                      <w:r>
                        <w:rPr>
                          <w:rFonts w:hint="eastAsia" w:ascii="仿宋" w:hAnsi="仿宋" w:eastAsia="仿宋" w:cs="仿宋"/>
                          <w:lang w:eastAsia="zh-CN"/>
                        </w:rPr>
                        <w:t>若发现任何贵公司人员或贵公司其他商业合作伙伴违反合规廉洁的行为，承诺人可通过以下联系方式向贵公司举报，并同意为所举报事项的调查提供合理必要的协助。</w:t>
                      </w:r>
                    </w:p>
                    <w:p>
                      <w:pPr>
                        <w:pStyle w:val="11"/>
                        <w:numPr>
                          <w:ilvl w:val="0"/>
                          <w:numId w:val="4"/>
                        </w:numPr>
                        <w:spacing w:after="120" w:afterLines="50" w:line="240" w:lineRule="atLeast"/>
                        <w:rPr>
                          <w:rFonts w:ascii="仿宋" w:hAnsi="仿宋" w:eastAsia="仿宋" w:cs="仿宋"/>
                          <w:u w:val="single"/>
                          <w:lang w:eastAsia="zh-CN"/>
                        </w:rPr>
                      </w:pPr>
                      <w:r>
                        <w:rPr>
                          <w:rFonts w:hint="eastAsia" w:ascii="仿宋" w:hAnsi="仿宋" w:eastAsia="仿宋" w:cs="仿宋"/>
                          <w:lang w:eastAsia="zh-CN"/>
                        </w:rPr>
                        <w:t xml:space="preserve">招商积余监察部（纪委办）：电子邮箱地址 </w:t>
                      </w:r>
                      <w:r>
                        <w:rPr>
                          <w:rFonts w:hint="eastAsia" w:ascii="仿宋" w:hAnsi="仿宋" w:eastAsia="仿宋" w:cs="仿宋"/>
                          <w:szCs w:val="28"/>
                          <w:lang w:eastAsia="zh-CN"/>
                        </w:rPr>
                        <w:t>shz_fd@sunchung.com.cn</w:t>
                      </w:r>
                    </w:p>
                    <w:p>
                      <w:pPr>
                        <w:pStyle w:val="11"/>
                        <w:numPr>
                          <w:ilvl w:val="0"/>
                          <w:numId w:val="4"/>
                        </w:numPr>
                        <w:spacing w:after="120" w:afterLines="50" w:line="240" w:lineRule="atLeast"/>
                        <w:rPr>
                          <w:rFonts w:ascii="仿宋" w:hAnsi="仿宋" w:eastAsia="仿宋" w:cs="仿宋"/>
                        </w:rPr>
                      </w:pPr>
                      <w:r>
                        <w:rPr>
                          <w:rFonts w:hint="eastAsia" w:ascii="仿宋" w:hAnsi="仿宋" w:eastAsia="仿宋" w:cs="仿宋"/>
                          <w:lang w:eastAsia="zh-CN"/>
                        </w:rPr>
                        <w:t>举报电话 _</w:t>
                      </w:r>
                      <w:r>
                        <w:rPr>
                          <w:rFonts w:hint="eastAsia" w:ascii="仿宋" w:hAnsi="仿宋" w:eastAsia="仿宋" w:cs="仿宋"/>
                          <w:u w:val="single"/>
                          <w:lang w:eastAsia="zh-CN"/>
                        </w:rPr>
                        <w:t>0755-822336869</w:t>
                      </w:r>
                      <w:r>
                        <w:rPr>
                          <w:rFonts w:hint="eastAsia" w:ascii="仿宋" w:hAnsi="仿宋" w:eastAsia="仿宋" w:cs="仿宋"/>
                          <w:lang w:eastAsia="zh-CN"/>
                        </w:rPr>
                        <w:t>_</w:t>
                      </w:r>
                    </w:p>
                  </w:txbxContent>
                </v:textbox>
              </v:shape>
            </w:pict>
          </mc:Fallback>
        </mc:AlternateContent>
      </w:r>
      <w:r>
        <w:rPr>
          <w:rFonts w:hint="eastAsia" w:ascii="仿宋" w:hAnsi="仿宋" w:eastAsia="仿宋" w:cs="仿宋"/>
          <w:lang w:eastAsia="zh-CN"/>
        </w:rPr>
        <w:t xml:space="preserve">        </w:t>
      </w:r>
    </w:p>
    <w:p>
      <w:pPr>
        <w:pStyle w:val="11"/>
        <w:spacing w:after="120" w:afterLines="50" w:line="240" w:lineRule="atLeast"/>
        <w:ind w:firstLine="480" w:firstLineChars="200"/>
        <w:jc w:val="left"/>
        <w:rPr>
          <w:rFonts w:ascii="仿宋" w:hAnsi="仿宋" w:eastAsia="仿宋" w:cs="仿宋"/>
          <w:lang w:eastAsia="zh-CN"/>
        </w:rPr>
      </w:pPr>
    </w:p>
    <w:p>
      <w:pPr>
        <w:pStyle w:val="11"/>
        <w:spacing w:after="120" w:afterLines="50" w:line="240" w:lineRule="atLeast"/>
        <w:ind w:firstLine="480" w:firstLineChars="200"/>
        <w:jc w:val="right"/>
        <w:rPr>
          <w:rFonts w:ascii="仿宋" w:hAnsi="仿宋" w:eastAsia="仿宋" w:cs="仿宋"/>
          <w:lang w:eastAsia="zh-CN"/>
        </w:rPr>
      </w:pPr>
    </w:p>
    <w:p>
      <w:pPr>
        <w:pStyle w:val="11"/>
        <w:spacing w:after="120" w:afterLines="50" w:line="240" w:lineRule="atLeast"/>
        <w:ind w:firstLine="480" w:firstLineChars="200"/>
        <w:jc w:val="right"/>
        <w:rPr>
          <w:rFonts w:ascii="仿宋" w:hAnsi="仿宋" w:eastAsia="仿宋" w:cs="仿宋"/>
          <w:lang w:eastAsia="zh-CN"/>
        </w:rPr>
      </w:pPr>
    </w:p>
    <w:p>
      <w:pPr>
        <w:pStyle w:val="11"/>
        <w:spacing w:after="120" w:afterLines="50" w:line="240" w:lineRule="atLeast"/>
        <w:ind w:firstLine="480" w:firstLineChars="200"/>
        <w:jc w:val="right"/>
        <w:rPr>
          <w:rFonts w:ascii="仿宋" w:hAnsi="仿宋" w:eastAsia="仿宋" w:cs="仿宋"/>
          <w:lang w:eastAsia="zh-CN"/>
        </w:rPr>
      </w:pPr>
    </w:p>
    <w:p>
      <w:pPr>
        <w:pStyle w:val="11"/>
        <w:spacing w:after="120" w:afterLines="50" w:line="240" w:lineRule="atLeast"/>
        <w:rPr>
          <w:rFonts w:ascii="仿宋" w:hAnsi="仿宋" w:eastAsia="仿宋" w:cs="仿宋"/>
          <w:lang w:eastAsia="zh-CN"/>
        </w:rPr>
      </w:pPr>
    </w:p>
    <w:p>
      <w:pPr>
        <w:pStyle w:val="11"/>
        <w:spacing w:after="120" w:afterLines="50" w:line="240" w:lineRule="atLeast"/>
        <w:ind w:firstLine="480" w:firstLineChars="200"/>
        <w:jc w:val="center"/>
        <w:rPr>
          <w:rFonts w:ascii="仿宋" w:hAnsi="仿宋" w:eastAsia="仿宋" w:cs="仿宋"/>
          <w:lang w:eastAsia="zh-CN"/>
        </w:rPr>
      </w:pPr>
      <w:r>
        <w:rPr>
          <w:rFonts w:hint="eastAsia" w:ascii="仿宋" w:hAnsi="仿宋" w:eastAsia="仿宋" w:cs="仿宋"/>
          <w:lang w:eastAsia="zh-CN"/>
        </w:rPr>
        <w:t xml:space="preserve">    </w:t>
      </w:r>
    </w:p>
    <w:p>
      <w:pPr>
        <w:pStyle w:val="11"/>
        <w:spacing w:after="120" w:afterLines="50" w:line="240" w:lineRule="atLeast"/>
        <w:ind w:firstLine="480" w:firstLineChars="200"/>
        <w:jc w:val="center"/>
        <w:rPr>
          <w:rFonts w:ascii="仿宋" w:hAnsi="仿宋" w:eastAsia="仿宋" w:cs="仿宋"/>
          <w:lang w:eastAsia="zh-CN"/>
        </w:rPr>
      </w:pPr>
      <w:r>
        <w:rPr>
          <w:rFonts w:hint="eastAsia" w:ascii="仿宋" w:hAnsi="仿宋" w:eastAsia="仿宋" w:cs="仿宋"/>
          <w:lang w:eastAsia="zh-CN"/>
        </w:rPr>
        <w:t xml:space="preserve">                          承诺人：【深圳昌恩智能股份有限公司】（盖章）</w:t>
      </w:r>
    </w:p>
    <w:p>
      <w:pPr>
        <w:pStyle w:val="11"/>
        <w:spacing w:after="120" w:afterLines="50" w:line="240" w:lineRule="atLeast"/>
        <w:ind w:firstLine="480" w:firstLineChars="200"/>
        <w:jc w:val="center"/>
        <w:rPr>
          <w:rFonts w:ascii="仿宋" w:hAnsi="仿宋" w:eastAsia="仿宋" w:cs="仿宋"/>
          <w:lang w:eastAsia="zh-CN"/>
        </w:rPr>
      </w:pPr>
      <w:r>
        <w:rPr>
          <w:rFonts w:hint="eastAsia" w:ascii="仿宋" w:hAnsi="仿宋" w:eastAsia="仿宋" w:cs="仿宋"/>
          <w:lang w:eastAsia="zh-CN"/>
        </w:rPr>
        <w:t xml:space="preserve">        法定代表人或授权代表签字：           </w:t>
      </w:r>
    </w:p>
    <w:p>
      <w:pPr>
        <w:pStyle w:val="11"/>
        <w:spacing w:after="120" w:afterLines="50" w:line="240" w:lineRule="atLeast"/>
        <w:ind w:firstLine="3600" w:firstLineChars="1500"/>
        <w:rPr>
          <w:rFonts w:ascii="仿宋" w:hAnsi="仿宋" w:eastAsia="仿宋" w:cs="仿宋"/>
        </w:rPr>
      </w:pPr>
      <w:r>
        <w:rPr>
          <w:rFonts w:hint="eastAsia" w:ascii="仿宋" w:hAnsi="仿宋" w:eastAsia="仿宋" w:cs="仿宋"/>
          <w:lang w:eastAsia="zh-CN"/>
        </w:rPr>
        <w:t>日期：</w:t>
      </w:r>
    </w:p>
    <w:p>
      <w:pPr>
        <w:spacing w:before="156" w:after="156"/>
        <w:ind w:left="-972" w:leftChars="-405" w:firstLine="1104" w:firstLineChars="500"/>
      </w:pPr>
      <w:r>
        <w:rPr>
          <w:rFonts w:hint="eastAsia" w:ascii="仿宋" w:hAnsi="仿宋" w:eastAsia="仿宋" w:cs="仿宋"/>
          <w:b/>
          <w:bCs/>
          <w:color w:val="1206A7"/>
          <w:sz w:val="22"/>
          <w:szCs w:val="22"/>
        </w:rPr>
        <w:t xml:space="preserve">           </w:t>
      </w:r>
    </w:p>
    <w:p>
      <w:pPr>
        <w:spacing w:line="480" w:lineRule="exact"/>
        <w:rPr>
          <w:rFonts w:ascii="仿宋" w:hAnsi="仿宋" w:eastAsia="仿宋"/>
          <w:color w:val="000000"/>
          <w:sz w:val="28"/>
          <w:szCs w:val="28"/>
        </w:rPr>
      </w:pPr>
    </w:p>
    <w:p>
      <w:pPr>
        <w:rPr>
          <w:rFonts w:ascii="仿宋" w:hAnsi="仿宋" w:eastAsia="仿宋"/>
          <w:color w:val="000000"/>
          <w:sz w:val="21"/>
        </w:rPr>
      </w:pPr>
    </w:p>
    <w:p>
      <w:pPr>
        <w:rPr>
          <w:rFonts w:ascii="仿宋" w:hAnsi="仿宋" w:eastAsia="仿宋"/>
          <w:color w:val="000000"/>
          <w:sz w:val="21"/>
        </w:rPr>
      </w:pPr>
    </w:p>
    <w:p>
      <w:pPr>
        <w:rPr>
          <w:rFonts w:ascii="仿宋" w:hAnsi="仿宋" w:eastAsia="仿宋"/>
          <w:color w:val="000000"/>
          <w:sz w:val="21"/>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附件五：</w:t>
      </w:r>
    </w:p>
    <w:p>
      <w:pPr>
        <w:snapToGrid w:val="0"/>
        <w:spacing w:line="360" w:lineRule="auto"/>
        <w:rPr>
          <w:rFonts w:asciiTheme="minorEastAsia" w:hAnsiTheme="minorEastAsia" w:eastAsiaTheme="minorEastAsia"/>
          <w:b/>
          <w:bCs/>
          <w:sz w:val="28"/>
          <w:szCs w:val="28"/>
        </w:rPr>
      </w:pPr>
      <w:r>
        <w:drawing>
          <wp:inline distT="0" distB="0" distL="0" distR="0">
            <wp:extent cx="5701665" cy="7233920"/>
            <wp:effectExtent l="0" t="0" r="0" b="5080"/>
            <wp:docPr id="1493760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60285" name="图片 1"/>
                    <pic:cNvPicPr>
                      <a:picLocks noChangeAspect="1"/>
                    </pic:cNvPicPr>
                  </pic:nvPicPr>
                  <pic:blipFill>
                    <a:blip r:embed="rId9"/>
                    <a:stretch>
                      <a:fillRect/>
                    </a:stretch>
                  </pic:blipFill>
                  <pic:spPr>
                    <a:xfrm>
                      <a:off x="0" y="0"/>
                      <a:ext cx="5701665" cy="7233920"/>
                    </a:xfrm>
                    <a:prstGeom prst="rect">
                      <a:avLst/>
                    </a:prstGeom>
                  </pic:spPr>
                </pic:pic>
              </a:graphicData>
            </a:graphic>
          </wp:inline>
        </w:drawing>
      </w:r>
    </w:p>
    <w:p>
      <w:pPr>
        <w:snapToGrid w:val="0"/>
        <w:spacing w:line="360" w:lineRule="auto"/>
        <w:rPr>
          <w:rFonts w:asciiTheme="minorEastAsia" w:hAnsiTheme="minorEastAsia" w:eastAsiaTheme="minorEastAsia"/>
          <w:b/>
          <w:bCs/>
          <w:sz w:val="28"/>
          <w:szCs w:val="28"/>
        </w:rPr>
      </w:pPr>
    </w:p>
    <w:p>
      <w:pPr>
        <w:snapToGrid w:val="0"/>
        <w:spacing w:line="360" w:lineRule="auto"/>
        <w:rPr>
          <w:rFonts w:asciiTheme="minorEastAsia" w:hAnsiTheme="minorEastAsia" w:eastAsiaTheme="minorEastAsia"/>
          <w:b/>
          <w:bCs/>
          <w:sz w:val="28"/>
          <w:szCs w:val="28"/>
        </w:rPr>
      </w:pPr>
    </w:p>
    <w:p>
      <w:pPr>
        <w:snapToGrid w:val="0"/>
        <w:spacing w:line="360" w:lineRule="auto"/>
        <w:rPr>
          <w:rFonts w:asciiTheme="minorEastAsia" w:hAnsiTheme="minorEastAsia" w:eastAsiaTheme="minorEastAsia"/>
          <w:b/>
          <w:bCs/>
          <w:sz w:val="28"/>
          <w:szCs w:val="28"/>
        </w:rPr>
      </w:pPr>
    </w:p>
    <w:p>
      <w:pPr>
        <w:rPr>
          <w:rFonts w:ascii="仿宋" w:hAnsi="仿宋" w:eastAsia="仿宋"/>
          <w:color w:val="000000"/>
          <w:sz w:val="21"/>
        </w:rPr>
      </w:pPr>
      <w:r>
        <w:drawing>
          <wp:inline distT="0" distB="0" distL="0" distR="0">
            <wp:extent cx="5701665" cy="7492365"/>
            <wp:effectExtent l="0" t="0" r="0" b="0"/>
            <wp:docPr id="404364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4333" name="图片 1"/>
                    <pic:cNvPicPr>
                      <a:picLocks noChangeAspect="1"/>
                    </pic:cNvPicPr>
                  </pic:nvPicPr>
                  <pic:blipFill>
                    <a:blip r:embed="rId10"/>
                    <a:stretch>
                      <a:fillRect/>
                    </a:stretch>
                  </pic:blipFill>
                  <pic:spPr>
                    <a:xfrm>
                      <a:off x="0" y="0"/>
                      <a:ext cx="5701665" cy="7492365"/>
                    </a:xfrm>
                    <a:prstGeom prst="rect">
                      <a:avLst/>
                    </a:prstGeom>
                  </pic:spPr>
                </pic:pic>
              </a:graphicData>
            </a:graphic>
          </wp:inline>
        </w:drawing>
      </w:r>
    </w:p>
    <w:sectPr>
      <w:pgSz w:w="11906" w:h="16838"/>
      <w:pgMar w:top="1418" w:right="1226" w:bottom="993" w:left="1701"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6"/>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epDMnLAQAAl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kpPLgP+4jtpA7S6gj1FQM55W5TbuVFuK5n7Oe/q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C3qQzJywEAAJcDAAAOAAAAAAAAAAEAIAAAACIBAABkcnMv&#10;ZTJvRG9jLnhtbFBLBQYAAAAABgAGAFkBAABfBQAAAAA=&#10;">
              <v:fill on="f" focussize="0,0"/>
              <v:stroke on="f" weight="1.2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6"/>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GjeyTLAQAAl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rORyoO/PURsIXeWUCeouRjOK3ObdystxL9+znr8n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ho3skywEAAJcDAAAOAAAAAAAAAAEAIAAAACIBAABkcnMv&#10;ZTJvRG9jLnhtbFBLBQYAAAAABgAGAFkBAABfBQAAAAA=&#10;">
              <v:fill on="f" focussize="0,0"/>
              <v:stroke on="f" weight="1.25pt"/>
              <v:imagedata o:title=""/>
              <o:lock v:ext="edit" aspectratio="f"/>
              <v:textbox inset="0mm,0mm,0mm,0mm" style="mso-fit-shape-to-text:t;">
                <w:txbxContent>
                  <w:p>
                    <w:pPr>
                      <w:pStyle w:val="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114300" distR="114300">
          <wp:extent cx="719455" cy="181610"/>
          <wp:effectExtent l="0" t="0" r="4445" b="8890"/>
          <wp:docPr id="8904840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84079"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0000" cy="182069"/>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966AC"/>
    <w:multiLevelType w:val="multilevel"/>
    <w:tmpl w:val="028966AC"/>
    <w:lvl w:ilvl="0" w:tentative="0">
      <w:start w:val="2"/>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1FED6D89"/>
    <w:multiLevelType w:val="multilevel"/>
    <w:tmpl w:val="1FED6D89"/>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22AAE04"/>
    <w:multiLevelType w:val="singleLevel"/>
    <w:tmpl w:val="522AAE04"/>
    <w:lvl w:ilvl="0" w:tentative="0">
      <w:start w:val="1"/>
      <w:numFmt w:val="decimal"/>
      <w:lvlText w:val="%1."/>
      <w:lvlJc w:val="left"/>
      <w:pPr>
        <w:ind w:left="440" w:hanging="440"/>
      </w:pPr>
      <w:rPr>
        <w:rFonts w:hint="eastAsia"/>
      </w:rPr>
    </w:lvl>
  </w:abstractNum>
  <w:abstractNum w:abstractNumId="3">
    <w:nsid w:val="5A2A1BD2"/>
    <w:multiLevelType w:val="singleLevel"/>
    <w:tmpl w:val="5A2A1BD2"/>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2YmE4MmYwNmY2ZjY1NDkzNWM2NzcxNGNiZjBiNGUifQ=="/>
  </w:docVars>
  <w:rsids>
    <w:rsidRoot w:val="2C106699"/>
    <w:rsid w:val="00010940"/>
    <w:rsid w:val="00047520"/>
    <w:rsid w:val="000838B6"/>
    <w:rsid w:val="000968D9"/>
    <w:rsid w:val="000C6245"/>
    <w:rsid w:val="001278E9"/>
    <w:rsid w:val="0014386D"/>
    <w:rsid w:val="001547D5"/>
    <w:rsid w:val="00163A7C"/>
    <w:rsid w:val="00171025"/>
    <w:rsid w:val="00172D94"/>
    <w:rsid w:val="001C217C"/>
    <w:rsid w:val="001E422B"/>
    <w:rsid w:val="00205938"/>
    <w:rsid w:val="00231C8C"/>
    <w:rsid w:val="00236F09"/>
    <w:rsid w:val="0026451E"/>
    <w:rsid w:val="002F7C3F"/>
    <w:rsid w:val="00300D4E"/>
    <w:rsid w:val="00303F07"/>
    <w:rsid w:val="003059CB"/>
    <w:rsid w:val="00353D47"/>
    <w:rsid w:val="00376BB0"/>
    <w:rsid w:val="003B0AE7"/>
    <w:rsid w:val="003C33EB"/>
    <w:rsid w:val="003C45F8"/>
    <w:rsid w:val="003D3CB7"/>
    <w:rsid w:val="003E76A0"/>
    <w:rsid w:val="00434643"/>
    <w:rsid w:val="004B4607"/>
    <w:rsid w:val="004E23A6"/>
    <w:rsid w:val="005818D6"/>
    <w:rsid w:val="005D3D64"/>
    <w:rsid w:val="005D5336"/>
    <w:rsid w:val="005E1157"/>
    <w:rsid w:val="005F3F1D"/>
    <w:rsid w:val="00604869"/>
    <w:rsid w:val="00625199"/>
    <w:rsid w:val="00635AFD"/>
    <w:rsid w:val="00662A5A"/>
    <w:rsid w:val="006A468C"/>
    <w:rsid w:val="006C417C"/>
    <w:rsid w:val="006D1D29"/>
    <w:rsid w:val="006D72AD"/>
    <w:rsid w:val="00705959"/>
    <w:rsid w:val="00705B65"/>
    <w:rsid w:val="00726EB6"/>
    <w:rsid w:val="00727A55"/>
    <w:rsid w:val="007553D6"/>
    <w:rsid w:val="0078784C"/>
    <w:rsid w:val="007A3410"/>
    <w:rsid w:val="008472A9"/>
    <w:rsid w:val="00850FF3"/>
    <w:rsid w:val="0085347C"/>
    <w:rsid w:val="008A3735"/>
    <w:rsid w:val="008B1BF4"/>
    <w:rsid w:val="008F3952"/>
    <w:rsid w:val="0090623B"/>
    <w:rsid w:val="00914116"/>
    <w:rsid w:val="00943B79"/>
    <w:rsid w:val="009C445C"/>
    <w:rsid w:val="00A2216F"/>
    <w:rsid w:val="00A46E57"/>
    <w:rsid w:val="00A94009"/>
    <w:rsid w:val="00AA1490"/>
    <w:rsid w:val="00AA4594"/>
    <w:rsid w:val="00AE137C"/>
    <w:rsid w:val="00AE7C11"/>
    <w:rsid w:val="00B375E2"/>
    <w:rsid w:val="00B721CF"/>
    <w:rsid w:val="00B76965"/>
    <w:rsid w:val="00B80217"/>
    <w:rsid w:val="00BA05E0"/>
    <w:rsid w:val="00BA32AF"/>
    <w:rsid w:val="00BF3CC0"/>
    <w:rsid w:val="00C2779A"/>
    <w:rsid w:val="00C40FE7"/>
    <w:rsid w:val="00C83DDE"/>
    <w:rsid w:val="00C97911"/>
    <w:rsid w:val="00CB7C5F"/>
    <w:rsid w:val="00D034C2"/>
    <w:rsid w:val="00D9105C"/>
    <w:rsid w:val="00DB79E1"/>
    <w:rsid w:val="00DD752B"/>
    <w:rsid w:val="00DF2B89"/>
    <w:rsid w:val="00E25F6B"/>
    <w:rsid w:val="00E32E33"/>
    <w:rsid w:val="00E45FDD"/>
    <w:rsid w:val="00E76716"/>
    <w:rsid w:val="00EC0445"/>
    <w:rsid w:val="00EC343F"/>
    <w:rsid w:val="00F15D12"/>
    <w:rsid w:val="00F34528"/>
    <w:rsid w:val="00F352C4"/>
    <w:rsid w:val="00F57A6F"/>
    <w:rsid w:val="00F95C87"/>
    <w:rsid w:val="042E69E2"/>
    <w:rsid w:val="08123F24"/>
    <w:rsid w:val="081D2FF5"/>
    <w:rsid w:val="08D4742C"/>
    <w:rsid w:val="0A1B5312"/>
    <w:rsid w:val="0EC0292C"/>
    <w:rsid w:val="10FD7E68"/>
    <w:rsid w:val="15082937"/>
    <w:rsid w:val="15BF393E"/>
    <w:rsid w:val="16F21AF1"/>
    <w:rsid w:val="1AE96D67"/>
    <w:rsid w:val="1D373D8B"/>
    <w:rsid w:val="1F1D7927"/>
    <w:rsid w:val="1FAB0A8F"/>
    <w:rsid w:val="1FEB532F"/>
    <w:rsid w:val="245E4322"/>
    <w:rsid w:val="256E089E"/>
    <w:rsid w:val="263143A4"/>
    <w:rsid w:val="29DF5F05"/>
    <w:rsid w:val="2C106699"/>
    <w:rsid w:val="2CD930DF"/>
    <w:rsid w:val="30847806"/>
    <w:rsid w:val="30F027A5"/>
    <w:rsid w:val="364D41F6"/>
    <w:rsid w:val="386C3059"/>
    <w:rsid w:val="3CF313E4"/>
    <w:rsid w:val="3D121CF5"/>
    <w:rsid w:val="474433F3"/>
    <w:rsid w:val="483B0352"/>
    <w:rsid w:val="4B6B53F2"/>
    <w:rsid w:val="4C312198"/>
    <w:rsid w:val="50666188"/>
    <w:rsid w:val="51145BE4"/>
    <w:rsid w:val="54F93A6F"/>
    <w:rsid w:val="58FA7DB6"/>
    <w:rsid w:val="5A025174"/>
    <w:rsid w:val="5A8E07B6"/>
    <w:rsid w:val="5ACB1A0A"/>
    <w:rsid w:val="5E2F4601"/>
    <w:rsid w:val="5E6A778C"/>
    <w:rsid w:val="5EC62C14"/>
    <w:rsid w:val="5F8108E9"/>
    <w:rsid w:val="604A517F"/>
    <w:rsid w:val="6609788A"/>
    <w:rsid w:val="67256946"/>
    <w:rsid w:val="67B6134C"/>
    <w:rsid w:val="67E934CF"/>
    <w:rsid w:val="694D7A8E"/>
    <w:rsid w:val="69872FA0"/>
    <w:rsid w:val="6AD06BC8"/>
    <w:rsid w:val="6BB81B36"/>
    <w:rsid w:val="6DE85FD7"/>
    <w:rsid w:val="6FD35191"/>
    <w:rsid w:val="72131B56"/>
    <w:rsid w:val="77862AE9"/>
    <w:rsid w:val="77884AB3"/>
    <w:rsid w:val="7925227A"/>
    <w:rsid w:val="7BFF730D"/>
    <w:rsid w:val="7DD547CA"/>
    <w:rsid w:val="7E4234E1"/>
    <w:rsid w:val="7F052E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ody Text Indent"/>
    <w:basedOn w:val="1"/>
    <w:qFormat/>
    <w:uiPriority w:val="0"/>
    <w:pPr>
      <w:spacing w:line="500" w:lineRule="exact"/>
      <w:ind w:left="540" w:hanging="540"/>
    </w:pPr>
    <w:rPr>
      <w:rFonts w:ascii="宋体"/>
    </w:rPr>
  </w:style>
  <w:style w:type="paragraph" w:styleId="4">
    <w:name w:val="Plain Text"/>
    <w:basedOn w:val="1"/>
    <w:link w:val="13"/>
    <w:qFormat/>
    <w:uiPriority w:val="0"/>
    <w:rPr>
      <w:rFonts w:ascii="宋体" w:hAnsi="Courier New"/>
    </w:rPr>
  </w:style>
  <w:style w:type="paragraph" w:styleId="5">
    <w:name w:val="Date"/>
    <w:basedOn w:val="1"/>
    <w:next w:val="1"/>
    <w:qFormat/>
    <w:uiPriority w:val="0"/>
    <w:pPr>
      <w:ind w:left="100" w:leftChars="2500"/>
    </w:pPr>
    <w:rPr>
      <w:rFonts w:ascii="宋体"/>
      <w:sz w:val="32"/>
    </w:rPr>
  </w:style>
  <w:style w:type="paragraph" w:styleId="6">
    <w:name w:val="footer"/>
    <w:basedOn w:val="1"/>
    <w:unhideWhenUsed/>
    <w:qFormat/>
    <w:uiPriority w:val="99"/>
    <w:pPr>
      <w:tabs>
        <w:tab w:val="center" w:pos="4153"/>
        <w:tab w:val="right" w:pos="8306"/>
      </w:tabs>
      <w:snapToGrid w:val="0"/>
    </w:pPr>
    <w:rPr>
      <w:sz w:val="18"/>
      <w:szCs w:val="18"/>
    </w:rPr>
  </w:style>
  <w:style w:type="paragraph" w:styleId="7">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0">
    <w:name w:val="列出段落1"/>
    <w:basedOn w:val="1"/>
    <w:qFormat/>
    <w:uiPriority w:val="34"/>
    <w:pPr>
      <w:ind w:firstLine="420" w:firstLineChars="200"/>
    </w:pPr>
  </w:style>
  <w:style w:type="paragraph" w:customStyle="1" w:styleId="11">
    <w:name w:val="K&amp;W Normal"/>
    <w:qFormat/>
    <w:uiPriority w:val="0"/>
    <w:pPr>
      <w:spacing w:after="360" w:line="320" w:lineRule="atLeast"/>
      <w:jc w:val="both"/>
    </w:pPr>
    <w:rPr>
      <w:rFonts w:ascii="Arial" w:hAnsi="Arial" w:eastAsia="楷体_GB2312" w:cs="Times New Roman"/>
      <w:color w:val="000000"/>
      <w:sz w:val="24"/>
      <w:szCs w:val="22"/>
      <w:lang w:val="en-US" w:eastAsia="en-US" w:bidi="ar-SA"/>
    </w:rPr>
  </w:style>
  <w:style w:type="paragraph" w:customStyle="1" w:styleId="12">
    <w:name w:val="修订1"/>
    <w:hidden/>
    <w:unhideWhenUsed/>
    <w:uiPriority w:val="99"/>
    <w:rPr>
      <w:rFonts w:ascii="Times New Roman" w:hAnsi="Times New Roman" w:eastAsia="宋体" w:cs="Times New Roman"/>
      <w:sz w:val="24"/>
      <w:lang w:val="en-US" w:eastAsia="zh-CN" w:bidi="ar-SA"/>
    </w:rPr>
  </w:style>
  <w:style w:type="character" w:customStyle="1" w:styleId="13">
    <w:name w:val="纯文本 字符"/>
    <w:basedOn w:val="9"/>
    <w:link w:val="4"/>
    <w:qFormat/>
    <w:uiPriority w:val="0"/>
    <w:rPr>
      <w:rFonts w:ascii="宋体" w:hAnsi="Courier New" w:eastAsia="宋体" w:cs="Times New Roman"/>
      <w:sz w:val="24"/>
    </w:rPr>
  </w:style>
  <w:style w:type="paragraph" w:customStyle="1" w:styleId="14">
    <w:name w:val="Revision"/>
    <w:hidden/>
    <w:unhideWhenUsed/>
    <w:uiPriority w:val="99"/>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8447</Words>
  <Characters>8830</Characters>
  <Lines>67</Lines>
  <Paragraphs>19</Paragraphs>
  <TotalTime>53</TotalTime>
  <ScaleCrop>false</ScaleCrop>
  <LinksUpToDate>false</LinksUpToDate>
  <CharactersWithSpaces>9109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2024-06-21T05:10:00Z</dcterms:created>
  <dc:creator>Administrator</dc:creator>
  <cp:lastModifiedBy>陈小华</cp:lastModifiedBy>
  <dcterms:modified xsi:type="dcterms:W3CDTF">2024-06-27T06:37:39Z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19D221E639344C03AA2F205272682908_11</vt:lpwstr>
  </property>
</Properties>
</file>